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المقدمة</w:t>
      </w:r>
      <w:r w:rsidDel="00000000" w:rsidR="00000000" w:rsidRPr="00000000">
        <w:rPr>
          <w:b w:val="1"/>
          <w:rtl w:val="1"/>
        </w:rPr>
        <w:t xml:space="preserve"> :-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ممتاز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لأولئك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يفضلون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ويرغبون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تجذب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الأذواق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والأعمار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مصممين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مشهورة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إلكتروني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والنساء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يواجهها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:-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الاختراق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وتعطل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الخوادم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:- 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وممتعة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للعملاء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يسعى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ممتازة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وزيادة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بواسطة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استراتيجيات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التسويق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الرقمي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يسعى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احتياجات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المنهجية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المتبعة</w:t>
      </w:r>
      <w:r w:rsidDel="00000000" w:rsidR="00000000" w:rsidRPr="00000000">
        <w:rPr>
          <w:sz w:val="28"/>
          <w:szCs w:val="28"/>
          <w:rtl w:val="1"/>
        </w:rPr>
        <w:t xml:space="preserve">  :- 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منهجية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المنهجيات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البرمجيات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المشاريع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تعتمد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المنهجية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تسلسل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بترتيب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الحالية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