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left"/>
        <w:rPr>
          <w:rFonts w:ascii="Segoe UI" w:hAnsi="Segoe UI" w:eastAsia="宋体" w:cs="Segoe UI"/>
          <w:b/>
          <w:bCs/>
          <w:color w:val="333333"/>
          <w:kern w:val="0"/>
          <w:sz w:val="48"/>
          <w:szCs w:val="48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48"/>
          <w:szCs w:val="48"/>
        </w:rPr>
        <w:t>蚂蚁量化 | 多策略组合投资理念与实践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一、为何选择多策略组合？</w:t>
      </w:r>
      <w:r>
        <w:rPr>
          <w:rFonts w:hint="eastAsia" w:ascii="Segoe UI" w:hAnsi="Segoe UI" w:eastAsia="宋体" w:cs="Segoe UI"/>
          <w:b/>
          <w:bCs/>
          <w:color w:val="333333"/>
          <w:kern w:val="0"/>
          <w:sz w:val="24"/>
          <w:szCs w:val="24"/>
        </w:rPr>
        <w:t xml:space="preserve"> </w:t>
      </w: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 xml:space="preserve"> 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在投资的世界里，风险控制永远是第一位的。我们坚信：长期稳健的复利增长，源于对波动与回撤的有效管理，而非对短期高收益的盲目追逐。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市场环境瞬息万变，不同策略在不同周期中的表现差异显著。单一策略可能在牛市中大放异彩，却在熊市中大幅回撤；而通过将多个低相关性策略科学组合，我们可以有效分散风险，平滑整体收益曲线，实现更可持续的资金增值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为验证这一理念，我们设计了一项模拟实验：构建20个独立的虚拟账户，每日涨跌幅在 -10% 至 +10% 范围内随机生成（符合略微正偏的正态分布，预期收益为正），且各账户之间无相关性。模拟运行10年，结果如下：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drawing>
          <wp:inline distT="0" distB="0" distL="0" distR="0">
            <wp:extent cx="10287000" cy="5097780"/>
            <wp:effectExtent l="0" t="0" r="0" b="7620"/>
            <wp:docPr id="5" name="图片 5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（注：图表采用对数坐标，便于清晰展示资金曲线的长期趋势）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·表现最佳账户：累计收益 +23,078%，年化约 73%，夏普比率1.4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·表现最差账户：累计亏损-62%，年化-9.4%，夏普比率仅0.04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·最大回撤高达 91.4%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然而，当我们将这20个账户进行等权组合后，整体表现发生了质的飞跃：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</w:t>
      </w:r>
      <w:r>
        <w:rPr>
          <w:rFonts w:ascii="Segoe UI Symbol" w:hAnsi="Segoe UI Symbol" w:eastAsia="宋体" w:cs="Segoe UI Symbol"/>
          <w:color w:val="333333"/>
          <w:kern w:val="0"/>
          <w:sz w:val="24"/>
          <w:szCs w:val="24"/>
        </w:rPr>
        <w:t>✅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 xml:space="preserve"> 组合年化收益率：43.9%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</w:t>
      </w:r>
      <w:r>
        <w:rPr>
          <w:rFonts w:ascii="Segoe UI Symbol" w:hAnsi="Segoe UI Symbol" w:eastAsia="宋体" w:cs="Segoe UI Symbol"/>
          <w:color w:val="333333"/>
          <w:kern w:val="0"/>
          <w:sz w:val="24"/>
          <w:szCs w:val="24"/>
        </w:rPr>
        <w:t>✅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 xml:space="preserve"> 最大回撤：仅 16.7%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</w:t>
      </w:r>
      <w:r>
        <w:rPr>
          <w:rFonts w:ascii="Segoe UI Symbol" w:hAnsi="Segoe UI Symbol" w:eastAsia="宋体" w:cs="Segoe UI Symbol"/>
          <w:color w:val="333333"/>
          <w:kern w:val="0"/>
          <w:sz w:val="24"/>
          <w:szCs w:val="24"/>
        </w:rPr>
        <w:t>✅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 xml:space="preserve"> 夏普比率提升至 2.38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这一结果有力证明了分散化配置低相关性策略的巨大价值：即使个别策略遭遇极端波动，组合整体仍能维持稳健上升的趋势。这不仅显著提升了风险调整后收益，也为长期复利创造了更有利的条件。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二、我们的多策略组合构成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基于上述理念，我们精心构建了“蚂蚁量化多策略组合”，精选多个风格互补、低相关性的子策略，覆盖不同市值维度、行业周期、驱动因子与交易逻辑，在控制风险的前提下追求持续稳健的超额回报。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下图是2005年1月至2025年10月，跨越20年的回测结果：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drawing>
          <wp:inline distT="0" distB="0" distL="0" distR="0">
            <wp:extent cx="14287500" cy="5189220"/>
            <wp:effectExtent l="0" t="0" r="0" b="0"/>
            <wp:docPr id="4" name="图片 4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drawing>
          <wp:inline distT="0" distB="0" distL="0" distR="0">
            <wp:extent cx="14287500" cy="5006340"/>
            <wp:effectExtent l="0" t="0" r="0" b="3810"/>
            <wp:docPr id="3" name="图片 3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下图是2025年1月至10月29日实盘运行的结果：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drawing>
          <wp:inline distT="0" distB="0" distL="0" distR="0">
            <wp:extent cx="10287000" cy="6195060"/>
            <wp:effectExtent l="0" t="0" r="0" b="0"/>
            <wp:docPr id="2" name="图片 2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下面是子策略构成介绍和回测表现：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drawing>
          <wp:inline distT="0" distB="0" distL="0" distR="0">
            <wp:extent cx="5189220" cy="2545080"/>
            <wp:effectExtent l="0" t="0" r="0" b="7620"/>
            <wp:docPr id="1" name="图片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组合效果显著：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尽管部分子策略的最大回撤超过30%，但通过科学的风险配置与权重优化，整个组合将最大回撤控制在15%以内，同时实现了65%的年化收益，夏普比率大幅提升，展现出卓越的风险调整后收益能力。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三、核心子策略原理详解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1). “价值发现”策略的演进之路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“价值发现”策略最初于2017年研发完成，其核心思想是从财务基本面出发，挖掘被市场低估的优质企业，等待价值回归带来的长期回报。收益来源主要包括：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·企业业绩增长驱动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·市场风格切换带来的估值提升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·价格围绕价值的周期性波动与回归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我们始终坚持投资“好公司”的原则——即具备以下特征的企业：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·好生意：高ROE、强盈利能力、健康的负债结构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·成长性：营收与利润同步增长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·市场认可：机构持仓稳定、流动性良好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但我们也深知：再好的公司，若买入价格过高，也可能导致长期亏损。因此，策略特别关注估值水平，避免“贵买好股”的陷阱。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通过对沪深300活跃成分股的研究，我们发现市场存在清晰的定价逻辑，主要由三大因子决定：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1.净资产收益率（ROE）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2.净利润增长率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3.当前PE与预估PE之差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通俗而言：相同ROE下优先选PE低的，相同PE下优先选ROE高的，两者相近时则关注成长性。基于此逻辑构建的初代“价值发现”策略，在2019–2021年间年均收益超过65%，表现优异。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“价值发现”策略的升级：从“进攻”到“攻守兼备”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然而，自2022年起，随着白马股票的回落，策略也经历了长时间的回撤。复盘后我们认识到：</w:t>
      </w: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原有策略诞生于经济上行周期，偏重成长与进攻，缺乏应对经济下行期的防御机制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。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为此，我们在2024年完成了策略的重大升级——引入“市场温度模型”，将市场划分为“冷、暖、热”三种状态，并在不同温度下采用差异化选股标准：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·“热”市：控制仓位，聚焦高确定性龙头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·“暖”市：均衡配置，兼顾成长与估值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·“冷”市：强化防御，优先选择现金流充沛、抗周期能力强的企业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这一升级使策略具备了更强的适应性与韧性。新“价值发现”策略自2025年实盘运行以来，</w:t>
      </w: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截至2025年10月，期间收益已达110%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，表现出色。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2). “白马攻防”策略：稳健基石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在“市场温度”理念的基础上，我们进一步开发了更具防守属性的“白马攻防”策略。该策略聚焦于经营稳定、分红潜力大、现金流充裕的蓝筹白马股，通过更严格的财务筛选标准，长期持有优质核心资产。</w:t>
      </w:r>
    </w:p>
    <w:p>
      <w:pPr>
        <w:widowControl/>
        <w:shd w:val="clear" w:color="auto" w:fill="FFFFFF"/>
        <w:wordWrap w:val="0"/>
        <w:spacing w:after="30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策略自2024年中期上线以来，收益持续稳定上行，成为组合中重要的“压舱石”，有效降低了整体波动。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3). “全市场绩优成长股”策略：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在全市场中优选成长性好、盈利达到一定规模的绩优股票，每周轮动，外加盘中止盈止损。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4). “全市场低估绩优股”策略：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在全市场中优选被低估(PB)、资产回报率(ROA)高的绩优股票，每周轮动，外加盘中止盈止损。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5). “中小板价值低估股”策略：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在中小板中优选被低估(PB)的小市值股票，每周轮动，外加盘中止盈止损。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6). “小盘股波动策略”策略：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主板多因子小市值策略，每天轮动，外加盘中止盈止损。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四、多策略的资金容量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展示的多策略组合的持股数量45只左右，适合资金从200万到2000万。随着资金的扩大，可以扩容到持股160只左右，资金容量可以到亿级别。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24"/>
          <w:szCs w:val="24"/>
        </w:rPr>
        <w:t>五、总结：多策略的本质是系统化生存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多策略组合的本质，不是追求某一次爆发式的胜利，而是构建一个能在各种市场环境中持续存活并成长的系统。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我们信奉现代投资的智慧：“不要把所有鸡蛋放在一个篮子里。”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我们更相信：“真正的长期收益，来自于系统的稳定性、持续性与抗风险能力。”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正如模拟与实证所展现的那样——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优秀的组合管理，不仅能显著降低回撤，更能提升收益的可预期性，让投资者在波动的市场中，走得更远、更安心。</w:t>
      </w:r>
    </w:p>
    <w:p>
      <w:pPr>
        <w:widowControl/>
        <w:shd w:val="clear" w:color="auto" w:fill="FFFFFF"/>
        <w:wordWrap w:val="0"/>
        <w:jc w:val="left"/>
        <w:rPr>
          <w:rFonts w:ascii="Segoe UI" w:hAnsi="Segoe UI" w:eastAsia="宋体" w:cs="Segoe UI"/>
          <w:color w:val="333333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蚂蚁量化| 用系统战胜周期，以稳健赢得未来</w:t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br w:type="textWrapping"/>
      </w:r>
      <w:r>
        <w:rPr>
          <w:rFonts w:ascii="Segoe UI" w:hAnsi="Segoe UI" w:eastAsia="宋体" w:cs="Segoe UI"/>
          <w:color w:val="333333"/>
          <w:kern w:val="0"/>
          <w:sz w:val="24"/>
          <w:szCs w:val="24"/>
        </w:rPr>
        <w:t>更新时间：2025年10月</w:t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#github 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2NGYzY2E0OGI0Yzg0OTIzNWUxZjczODZkZjA3MGIifQ=="/>
  </w:docVars>
  <w:rsids>
    <w:rsidRoot w:val="00BC1E5D"/>
    <w:rsid w:val="00425FCA"/>
    <w:rsid w:val="00890DED"/>
    <w:rsid w:val="009932B2"/>
    <w:rsid w:val="00BC1E5D"/>
    <w:rsid w:val="00CC7D44"/>
    <w:rsid w:val="00E40953"/>
    <w:rsid w:val="3136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9</Pages>
  <Words>352</Words>
  <Characters>2009</Characters>
  <Lines>16</Lines>
  <Paragraphs>4</Paragraphs>
  <TotalTime>0</TotalTime>
  <ScaleCrop>false</ScaleCrop>
  <LinksUpToDate>false</LinksUpToDate>
  <CharactersWithSpaces>2357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2025-11-02T13:35:00Z</dcterms:created>
  <dc:creator>Jim</dc:creator>
  <cp:lastModifiedBy>家民</cp:lastModifiedBy>
  <dcterms:modified xsi:type="dcterms:W3CDTF">2025-12-03T06:42:31Z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C6C57C1C3DE54CF7B71562997BBD8474_12</vt:lpwstr>
  </property>
</Properties>
</file>