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90DED" w:rsidRPr="00890DED" w:rsidRDefault="00890DED" w:rsidP="00890DED">
      <w:pPr>
        <w:widowControl/>
        <w:shd w:val="clear" w:color="auto" w:fill="FFFFFF"/>
        <w:jc w:val="left"/>
        <w:rPr>
          <w:rFonts w:ascii="Segoe UI" w:eastAsia="宋体" w:hAnsi="Segoe UI" w:cs="Segoe UI"/>
          <w:b/>
          <w:bCs/>
          <w:color w:val="333333"/>
          <w:kern w:val="0"/>
          <w:sz w:val="48"/>
          <w:szCs w:val="48"/>
        </w:rPr>
      </w:pPr>
      <w:r w:rsidRPr="00890DED">
        <w:rPr>
          <w:rFonts w:ascii="Segoe UI" w:eastAsia="宋体" w:hAnsi="Segoe UI" w:cs="Segoe UI"/>
          <w:b/>
          <w:bCs/>
          <w:color w:val="333333"/>
          <w:kern w:val="0"/>
          <w:sz w:val="48"/>
          <w:szCs w:val="48"/>
        </w:rPr>
        <w:t>蚂蚁量化</w:t>
      </w:r>
      <w:r w:rsidRPr="00890DED">
        <w:rPr>
          <w:rFonts w:ascii="Segoe UI" w:eastAsia="宋体" w:hAnsi="Segoe UI" w:cs="Segoe UI"/>
          <w:b/>
          <w:bCs/>
          <w:color w:val="333333"/>
          <w:kern w:val="0"/>
          <w:sz w:val="48"/>
          <w:szCs w:val="48"/>
        </w:rPr>
        <w:t xml:space="preserve"> | </w:t>
      </w:r>
      <w:r w:rsidRPr="00890DED">
        <w:rPr>
          <w:rFonts w:ascii="Segoe UI" w:eastAsia="宋体" w:hAnsi="Segoe UI" w:cs="Segoe UI"/>
          <w:b/>
          <w:bCs/>
          <w:color w:val="333333"/>
          <w:kern w:val="0"/>
          <w:sz w:val="48"/>
          <w:szCs w:val="48"/>
        </w:rPr>
        <w:t>多策略组合投资理念与实践</w:t>
      </w:r>
    </w:p>
    <w:p w:rsidR="00890DED" w:rsidRPr="00890DED" w:rsidRDefault="00890DED" w:rsidP="00890DED">
      <w:pPr>
        <w:widowControl/>
        <w:shd w:val="clear" w:color="auto" w:fill="FFFFFF"/>
        <w:wordWrap w:val="0"/>
        <w:jc w:val="left"/>
        <w:rPr>
          <w:rFonts w:ascii="Segoe UI" w:eastAsia="宋体" w:hAnsi="Segoe UI" w:cs="Segoe UI"/>
          <w:color w:val="333333"/>
          <w:kern w:val="0"/>
          <w:sz w:val="24"/>
          <w:szCs w:val="24"/>
        </w:rPr>
      </w:pPr>
      <w:r w:rsidRPr="00890DED">
        <w:rPr>
          <w:rFonts w:ascii="Segoe UI" w:eastAsia="宋体" w:hAnsi="Segoe UI" w:cs="Segoe UI"/>
          <w:b/>
          <w:bCs/>
          <w:color w:val="333333"/>
          <w:kern w:val="0"/>
          <w:sz w:val="24"/>
          <w:szCs w:val="24"/>
        </w:rPr>
        <w:t>一、为何选择多策略组合？</w:t>
      </w:r>
      <w:r w:rsidR="009932B2">
        <w:rPr>
          <w:rFonts w:ascii="Segoe UI" w:eastAsia="宋体" w:hAnsi="Segoe UI" w:cs="Segoe UI" w:hint="eastAsia"/>
          <w:b/>
          <w:bCs/>
          <w:color w:val="333333"/>
          <w:kern w:val="0"/>
          <w:sz w:val="24"/>
          <w:szCs w:val="24"/>
        </w:rPr>
        <w:t xml:space="preserve"> </w:t>
      </w:r>
      <w:r w:rsidR="009932B2">
        <w:rPr>
          <w:rFonts w:ascii="Segoe UI" w:eastAsia="宋体" w:hAnsi="Segoe UI" w:cs="Segoe UI"/>
          <w:b/>
          <w:bCs/>
          <w:color w:val="333333"/>
          <w:kern w:val="0"/>
          <w:sz w:val="24"/>
          <w:szCs w:val="24"/>
        </w:rPr>
        <w:t xml:space="preserve"> </w:t>
      </w:r>
      <w:bookmarkStart w:id="0" w:name="_GoBack"/>
      <w:bookmarkEnd w:id="0"/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br/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在投资的世界里，风险控制永远是第一位的。我们坚信：长期稳健的复利增长，源于对波动与回撤的有效管理，而非对短期高收益的盲目追逐。</w:t>
      </w:r>
    </w:p>
    <w:p w:rsidR="00890DED" w:rsidRPr="00890DED" w:rsidRDefault="00890DED" w:rsidP="00890DED">
      <w:pPr>
        <w:widowControl/>
        <w:shd w:val="clear" w:color="auto" w:fill="FFFFFF"/>
        <w:wordWrap w:val="0"/>
        <w:spacing w:after="300"/>
        <w:jc w:val="left"/>
        <w:rPr>
          <w:rFonts w:ascii="Segoe UI" w:eastAsia="宋体" w:hAnsi="Segoe UI" w:cs="Segoe UI"/>
          <w:color w:val="333333"/>
          <w:kern w:val="0"/>
          <w:sz w:val="24"/>
          <w:szCs w:val="24"/>
        </w:rPr>
      </w:pP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市场环境瞬息万变，不同策略在不同周期中的表现差异显著。单一策略可能在牛市中大放异彩，却在熊市中大幅回撤；而通过将多个低相关性策略科学组合，我们可以有效分散风险，平滑整体收益曲线，实现更可持续的资金增值。</w:t>
      </w:r>
    </w:p>
    <w:p w:rsidR="00890DED" w:rsidRPr="00890DED" w:rsidRDefault="00890DED" w:rsidP="00890DED">
      <w:pPr>
        <w:widowControl/>
        <w:shd w:val="clear" w:color="auto" w:fill="FFFFFF"/>
        <w:wordWrap w:val="0"/>
        <w:jc w:val="left"/>
        <w:rPr>
          <w:rFonts w:ascii="Segoe UI" w:eastAsia="宋体" w:hAnsi="Segoe UI" w:cs="Segoe UI"/>
          <w:color w:val="333333"/>
          <w:kern w:val="0"/>
          <w:sz w:val="24"/>
          <w:szCs w:val="24"/>
        </w:rPr>
      </w:pP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为验证这一理念，我们设计了一项模拟实验：构建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20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个独立的虚拟账户，每日涨跌幅在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 xml:space="preserve"> -10% 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至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 xml:space="preserve"> +10% 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范围内随机生成（符合略微正偏的正态分布，预期收益为正），且各账户之间无相关性。模拟运行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10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年，结果如下：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br/>
      </w:r>
      <w:r w:rsidRPr="00890DED">
        <w:rPr>
          <w:rFonts w:ascii="Segoe UI" w:eastAsia="宋体" w:hAnsi="Segoe UI" w:cs="Segoe UI"/>
          <w:noProof/>
          <w:color w:val="333333"/>
          <w:kern w:val="0"/>
          <w:sz w:val="24"/>
          <w:szCs w:val="24"/>
        </w:rPr>
        <w:drawing>
          <wp:inline distT="0" distB="0" distL="0" distR="0">
            <wp:extent cx="10287000" cy="5097780"/>
            <wp:effectExtent l="0" t="0" r="0" b="7620"/>
            <wp:docPr id="5" name="图片 5" descr="Im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87000" cy="5097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90DED" w:rsidRPr="00890DED" w:rsidRDefault="00890DED" w:rsidP="00890DED">
      <w:pPr>
        <w:widowControl/>
        <w:shd w:val="clear" w:color="auto" w:fill="FFFFFF"/>
        <w:wordWrap w:val="0"/>
        <w:spacing w:after="300"/>
        <w:jc w:val="left"/>
        <w:rPr>
          <w:rFonts w:ascii="Segoe UI" w:eastAsia="宋体" w:hAnsi="Segoe UI" w:cs="Segoe UI"/>
          <w:color w:val="333333"/>
          <w:kern w:val="0"/>
          <w:sz w:val="24"/>
          <w:szCs w:val="24"/>
        </w:rPr>
      </w:pP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lastRenderedPageBreak/>
        <w:t>（注：图表采用对数坐标，便于清晰展示资金曲线的长期趋势）</w:t>
      </w:r>
    </w:p>
    <w:p w:rsidR="00890DED" w:rsidRPr="00890DED" w:rsidRDefault="00890DED" w:rsidP="00890DED">
      <w:pPr>
        <w:widowControl/>
        <w:shd w:val="clear" w:color="auto" w:fill="FFFFFF"/>
        <w:wordWrap w:val="0"/>
        <w:spacing w:after="300"/>
        <w:jc w:val="left"/>
        <w:rPr>
          <w:rFonts w:ascii="Segoe UI" w:eastAsia="宋体" w:hAnsi="Segoe UI" w:cs="Segoe UI"/>
          <w:color w:val="333333"/>
          <w:kern w:val="0"/>
          <w:sz w:val="24"/>
          <w:szCs w:val="24"/>
        </w:rPr>
      </w:pP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·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表现最佳账户：累计收益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 xml:space="preserve"> +23,078%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，年化约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 xml:space="preserve"> 73%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，夏普比率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1.4</w:t>
      </w:r>
    </w:p>
    <w:p w:rsidR="00890DED" w:rsidRPr="00890DED" w:rsidRDefault="00890DED" w:rsidP="00890DED">
      <w:pPr>
        <w:widowControl/>
        <w:shd w:val="clear" w:color="auto" w:fill="FFFFFF"/>
        <w:wordWrap w:val="0"/>
        <w:spacing w:after="300"/>
        <w:jc w:val="left"/>
        <w:rPr>
          <w:rFonts w:ascii="Segoe UI" w:eastAsia="宋体" w:hAnsi="Segoe UI" w:cs="Segoe UI"/>
          <w:color w:val="333333"/>
          <w:kern w:val="0"/>
          <w:sz w:val="24"/>
          <w:szCs w:val="24"/>
        </w:rPr>
      </w:pP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·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表现最差账户：累计亏损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-62%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，年化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-9.4%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，夏普比率仅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0.04</w:t>
      </w:r>
    </w:p>
    <w:p w:rsidR="00890DED" w:rsidRPr="00890DED" w:rsidRDefault="00890DED" w:rsidP="00890DED">
      <w:pPr>
        <w:widowControl/>
        <w:shd w:val="clear" w:color="auto" w:fill="FFFFFF"/>
        <w:wordWrap w:val="0"/>
        <w:spacing w:after="300"/>
        <w:jc w:val="left"/>
        <w:rPr>
          <w:rFonts w:ascii="Segoe UI" w:eastAsia="宋体" w:hAnsi="Segoe UI" w:cs="Segoe UI"/>
          <w:color w:val="333333"/>
          <w:kern w:val="0"/>
          <w:sz w:val="24"/>
          <w:szCs w:val="24"/>
        </w:rPr>
      </w:pP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·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最大回撤高达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 xml:space="preserve"> 91.4%</w:t>
      </w:r>
    </w:p>
    <w:p w:rsidR="00890DED" w:rsidRPr="00890DED" w:rsidRDefault="00890DED" w:rsidP="00890DED">
      <w:pPr>
        <w:widowControl/>
        <w:shd w:val="clear" w:color="auto" w:fill="FFFFFF"/>
        <w:wordWrap w:val="0"/>
        <w:spacing w:after="300"/>
        <w:jc w:val="left"/>
        <w:rPr>
          <w:rFonts w:ascii="Segoe UI" w:eastAsia="宋体" w:hAnsi="Segoe UI" w:cs="Segoe UI"/>
          <w:color w:val="333333"/>
          <w:kern w:val="0"/>
          <w:sz w:val="24"/>
          <w:szCs w:val="24"/>
        </w:rPr>
      </w:pP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然而，当我们将这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20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个账户进行等权组合后，整体表现发生了质的飞跃：</w:t>
      </w:r>
    </w:p>
    <w:p w:rsidR="00890DED" w:rsidRPr="00890DED" w:rsidRDefault="00890DED" w:rsidP="00890DED">
      <w:pPr>
        <w:widowControl/>
        <w:shd w:val="clear" w:color="auto" w:fill="FFFFFF"/>
        <w:wordWrap w:val="0"/>
        <w:spacing w:after="300"/>
        <w:jc w:val="left"/>
        <w:rPr>
          <w:rFonts w:ascii="Segoe UI" w:eastAsia="宋体" w:hAnsi="Segoe UI" w:cs="Segoe UI"/>
          <w:color w:val="333333"/>
          <w:kern w:val="0"/>
          <w:sz w:val="24"/>
          <w:szCs w:val="24"/>
        </w:rPr>
      </w:pP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·</w:t>
      </w:r>
      <w:r w:rsidRPr="00890DED">
        <w:rPr>
          <w:rFonts w:ascii="Segoe UI Symbol" w:eastAsia="宋体" w:hAnsi="Segoe UI Symbol" w:cs="Segoe UI Symbol"/>
          <w:color w:val="333333"/>
          <w:kern w:val="0"/>
          <w:sz w:val="24"/>
          <w:szCs w:val="24"/>
        </w:rPr>
        <w:t>✅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 xml:space="preserve"> 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组合年化收益率：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43.9%</w:t>
      </w:r>
    </w:p>
    <w:p w:rsidR="00890DED" w:rsidRPr="00890DED" w:rsidRDefault="00890DED" w:rsidP="00890DED">
      <w:pPr>
        <w:widowControl/>
        <w:shd w:val="clear" w:color="auto" w:fill="FFFFFF"/>
        <w:wordWrap w:val="0"/>
        <w:spacing w:after="300"/>
        <w:jc w:val="left"/>
        <w:rPr>
          <w:rFonts w:ascii="Segoe UI" w:eastAsia="宋体" w:hAnsi="Segoe UI" w:cs="Segoe UI"/>
          <w:color w:val="333333"/>
          <w:kern w:val="0"/>
          <w:sz w:val="24"/>
          <w:szCs w:val="24"/>
        </w:rPr>
      </w:pP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·</w:t>
      </w:r>
      <w:r w:rsidRPr="00890DED">
        <w:rPr>
          <w:rFonts w:ascii="Segoe UI Symbol" w:eastAsia="宋体" w:hAnsi="Segoe UI Symbol" w:cs="Segoe UI Symbol"/>
          <w:color w:val="333333"/>
          <w:kern w:val="0"/>
          <w:sz w:val="24"/>
          <w:szCs w:val="24"/>
        </w:rPr>
        <w:t>✅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 xml:space="preserve"> 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最大回撤：仅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 xml:space="preserve"> 16.7%</w:t>
      </w:r>
    </w:p>
    <w:p w:rsidR="00890DED" w:rsidRPr="00890DED" w:rsidRDefault="00890DED" w:rsidP="00890DED">
      <w:pPr>
        <w:widowControl/>
        <w:shd w:val="clear" w:color="auto" w:fill="FFFFFF"/>
        <w:wordWrap w:val="0"/>
        <w:spacing w:after="300"/>
        <w:jc w:val="left"/>
        <w:rPr>
          <w:rFonts w:ascii="Segoe UI" w:eastAsia="宋体" w:hAnsi="Segoe UI" w:cs="Segoe UI"/>
          <w:color w:val="333333"/>
          <w:kern w:val="0"/>
          <w:sz w:val="24"/>
          <w:szCs w:val="24"/>
        </w:rPr>
      </w:pP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·</w:t>
      </w:r>
      <w:r w:rsidRPr="00890DED">
        <w:rPr>
          <w:rFonts w:ascii="Segoe UI Symbol" w:eastAsia="宋体" w:hAnsi="Segoe UI Symbol" w:cs="Segoe UI Symbol"/>
          <w:color w:val="333333"/>
          <w:kern w:val="0"/>
          <w:sz w:val="24"/>
          <w:szCs w:val="24"/>
        </w:rPr>
        <w:t>✅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 xml:space="preserve"> 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夏普比率提升至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 xml:space="preserve"> 2.38</w:t>
      </w:r>
    </w:p>
    <w:p w:rsidR="00890DED" w:rsidRPr="00890DED" w:rsidRDefault="00890DED" w:rsidP="00890DED">
      <w:pPr>
        <w:widowControl/>
        <w:shd w:val="clear" w:color="auto" w:fill="FFFFFF"/>
        <w:wordWrap w:val="0"/>
        <w:spacing w:after="300"/>
        <w:jc w:val="left"/>
        <w:rPr>
          <w:rFonts w:ascii="Segoe UI" w:eastAsia="宋体" w:hAnsi="Segoe UI" w:cs="Segoe UI"/>
          <w:color w:val="333333"/>
          <w:kern w:val="0"/>
          <w:sz w:val="24"/>
          <w:szCs w:val="24"/>
        </w:rPr>
      </w:pP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这一结果有力证明了分散化配置低相关性策略的巨大价值：即使个别策略遭遇极端波动，组合整体仍能维持稳健上升的趋势。这不仅显著提升了风险调整后收益，也为长期复利创造了更有利的条件。</w:t>
      </w:r>
    </w:p>
    <w:p w:rsidR="00890DED" w:rsidRPr="00890DED" w:rsidRDefault="00890DED" w:rsidP="00890DED">
      <w:pPr>
        <w:widowControl/>
        <w:shd w:val="clear" w:color="auto" w:fill="FFFFFF"/>
        <w:wordWrap w:val="0"/>
        <w:jc w:val="left"/>
        <w:rPr>
          <w:rFonts w:ascii="Segoe UI" w:eastAsia="宋体" w:hAnsi="Segoe UI" w:cs="Segoe UI"/>
          <w:color w:val="333333"/>
          <w:kern w:val="0"/>
          <w:sz w:val="24"/>
          <w:szCs w:val="24"/>
        </w:rPr>
      </w:pPr>
      <w:r w:rsidRPr="00890DED">
        <w:rPr>
          <w:rFonts w:ascii="Segoe UI" w:eastAsia="宋体" w:hAnsi="Segoe UI" w:cs="Segoe UI"/>
          <w:b/>
          <w:bCs/>
          <w:color w:val="333333"/>
          <w:kern w:val="0"/>
          <w:sz w:val="24"/>
          <w:szCs w:val="24"/>
        </w:rPr>
        <w:t>二、我们的多策略组合构成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br/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基于上述理念，我们精心构建了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“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蚂蚁量化多策略组合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”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，精选多个风格互补、低相关性的子策略，覆盖不同市值维度、行业周期、驱动因子与交易逻辑，在控制风险的前提下追求持续稳健的超额回报。</w:t>
      </w:r>
    </w:p>
    <w:p w:rsidR="00890DED" w:rsidRPr="00890DED" w:rsidRDefault="00890DED" w:rsidP="00890DED">
      <w:pPr>
        <w:widowControl/>
        <w:shd w:val="clear" w:color="auto" w:fill="FFFFFF"/>
        <w:wordWrap w:val="0"/>
        <w:jc w:val="left"/>
        <w:rPr>
          <w:rFonts w:ascii="Segoe UI" w:eastAsia="宋体" w:hAnsi="Segoe UI" w:cs="Segoe UI"/>
          <w:color w:val="333333"/>
          <w:kern w:val="0"/>
          <w:sz w:val="24"/>
          <w:szCs w:val="24"/>
        </w:rPr>
      </w:pP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lastRenderedPageBreak/>
        <w:t>下图是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2005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年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1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月至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2025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年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10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月，跨越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20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年的回测结果：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br/>
      </w:r>
      <w:r w:rsidRPr="00890DED">
        <w:rPr>
          <w:rFonts w:ascii="Segoe UI" w:eastAsia="宋体" w:hAnsi="Segoe UI" w:cs="Segoe UI"/>
          <w:noProof/>
          <w:color w:val="333333"/>
          <w:kern w:val="0"/>
          <w:sz w:val="24"/>
          <w:szCs w:val="24"/>
        </w:rPr>
        <w:drawing>
          <wp:inline distT="0" distB="0" distL="0" distR="0">
            <wp:extent cx="14287500" cy="5189220"/>
            <wp:effectExtent l="0" t="0" r="0" b="0"/>
            <wp:docPr id="4" name="图片 4" descr="Im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Im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0" cy="5189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90DED" w:rsidRPr="00890DED" w:rsidRDefault="00890DED" w:rsidP="00890DED">
      <w:pPr>
        <w:widowControl/>
        <w:shd w:val="clear" w:color="auto" w:fill="FFFFFF"/>
        <w:wordWrap w:val="0"/>
        <w:spacing w:after="300"/>
        <w:jc w:val="left"/>
        <w:rPr>
          <w:rFonts w:ascii="Segoe UI" w:eastAsia="宋体" w:hAnsi="Segoe UI" w:cs="Segoe UI"/>
          <w:color w:val="333333"/>
          <w:kern w:val="0"/>
          <w:sz w:val="24"/>
          <w:szCs w:val="24"/>
        </w:rPr>
      </w:pPr>
      <w:r w:rsidRPr="00890DED">
        <w:rPr>
          <w:rFonts w:ascii="Segoe UI" w:eastAsia="宋体" w:hAnsi="Segoe UI" w:cs="Segoe UI"/>
          <w:noProof/>
          <w:color w:val="333333"/>
          <w:kern w:val="0"/>
          <w:sz w:val="24"/>
          <w:szCs w:val="24"/>
        </w:rPr>
        <w:lastRenderedPageBreak/>
        <w:drawing>
          <wp:inline distT="0" distB="0" distL="0" distR="0">
            <wp:extent cx="14287500" cy="5006340"/>
            <wp:effectExtent l="0" t="0" r="0" b="3810"/>
            <wp:docPr id="3" name="图片 3" descr="Im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Im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0" cy="5006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90DED" w:rsidRPr="00890DED" w:rsidRDefault="00890DED" w:rsidP="00890DED">
      <w:pPr>
        <w:widowControl/>
        <w:shd w:val="clear" w:color="auto" w:fill="FFFFFF"/>
        <w:wordWrap w:val="0"/>
        <w:spacing w:after="300"/>
        <w:jc w:val="left"/>
        <w:rPr>
          <w:rFonts w:ascii="Segoe UI" w:eastAsia="宋体" w:hAnsi="Segoe UI" w:cs="Segoe UI"/>
          <w:color w:val="333333"/>
          <w:kern w:val="0"/>
          <w:sz w:val="24"/>
          <w:szCs w:val="24"/>
        </w:rPr>
      </w:pP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下图是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2025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年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1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月至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10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月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29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日实盘运行的结果：</w:t>
      </w:r>
    </w:p>
    <w:p w:rsidR="00890DED" w:rsidRPr="00890DED" w:rsidRDefault="00890DED" w:rsidP="00890DED">
      <w:pPr>
        <w:widowControl/>
        <w:shd w:val="clear" w:color="auto" w:fill="FFFFFF"/>
        <w:wordWrap w:val="0"/>
        <w:spacing w:after="300"/>
        <w:jc w:val="left"/>
        <w:rPr>
          <w:rFonts w:ascii="Segoe UI" w:eastAsia="宋体" w:hAnsi="Segoe UI" w:cs="Segoe UI"/>
          <w:color w:val="333333"/>
          <w:kern w:val="0"/>
          <w:sz w:val="24"/>
          <w:szCs w:val="24"/>
        </w:rPr>
      </w:pPr>
      <w:r w:rsidRPr="00890DED">
        <w:rPr>
          <w:rFonts w:ascii="Segoe UI" w:eastAsia="宋体" w:hAnsi="Segoe UI" w:cs="Segoe UI"/>
          <w:noProof/>
          <w:color w:val="333333"/>
          <w:kern w:val="0"/>
          <w:sz w:val="24"/>
          <w:szCs w:val="24"/>
        </w:rPr>
        <w:lastRenderedPageBreak/>
        <w:drawing>
          <wp:inline distT="0" distB="0" distL="0" distR="0">
            <wp:extent cx="10287000" cy="6195060"/>
            <wp:effectExtent l="0" t="0" r="0" b="0"/>
            <wp:docPr id="2" name="图片 2" descr="Im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Im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87000" cy="6195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90DED" w:rsidRPr="00890DED" w:rsidRDefault="00890DED" w:rsidP="00890DED">
      <w:pPr>
        <w:widowControl/>
        <w:shd w:val="clear" w:color="auto" w:fill="FFFFFF"/>
        <w:wordWrap w:val="0"/>
        <w:spacing w:after="300"/>
        <w:jc w:val="left"/>
        <w:rPr>
          <w:rFonts w:ascii="Segoe UI" w:eastAsia="宋体" w:hAnsi="Segoe UI" w:cs="Segoe UI"/>
          <w:color w:val="333333"/>
          <w:kern w:val="0"/>
          <w:sz w:val="24"/>
          <w:szCs w:val="24"/>
        </w:rPr>
      </w:pP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下面是子策略构成介绍和回测表现：</w:t>
      </w:r>
    </w:p>
    <w:p w:rsidR="00890DED" w:rsidRPr="00890DED" w:rsidRDefault="00890DED" w:rsidP="00890DED">
      <w:pPr>
        <w:widowControl/>
        <w:shd w:val="clear" w:color="auto" w:fill="FFFFFF"/>
        <w:wordWrap w:val="0"/>
        <w:spacing w:after="300"/>
        <w:jc w:val="left"/>
        <w:rPr>
          <w:rFonts w:ascii="Segoe UI" w:eastAsia="宋体" w:hAnsi="Segoe UI" w:cs="Segoe UI"/>
          <w:color w:val="333333"/>
          <w:kern w:val="0"/>
          <w:sz w:val="24"/>
          <w:szCs w:val="24"/>
        </w:rPr>
      </w:pPr>
      <w:r w:rsidRPr="00890DED">
        <w:rPr>
          <w:rFonts w:ascii="Segoe UI" w:eastAsia="宋体" w:hAnsi="Segoe UI" w:cs="Segoe UI"/>
          <w:noProof/>
          <w:color w:val="333333"/>
          <w:kern w:val="0"/>
          <w:sz w:val="24"/>
          <w:szCs w:val="24"/>
        </w:rPr>
        <w:lastRenderedPageBreak/>
        <w:drawing>
          <wp:inline distT="0" distB="0" distL="0" distR="0">
            <wp:extent cx="5189220" cy="2545080"/>
            <wp:effectExtent l="0" t="0" r="0" b="7620"/>
            <wp:docPr id="1" name="图片 1" descr="Im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Im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9220" cy="2545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90DED" w:rsidRPr="00890DED" w:rsidRDefault="00890DED" w:rsidP="00890DED">
      <w:pPr>
        <w:widowControl/>
        <w:shd w:val="clear" w:color="auto" w:fill="FFFFFF"/>
        <w:wordWrap w:val="0"/>
        <w:jc w:val="left"/>
        <w:rPr>
          <w:rFonts w:ascii="Segoe UI" w:eastAsia="宋体" w:hAnsi="Segoe UI" w:cs="Segoe UI"/>
          <w:color w:val="333333"/>
          <w:kern w:val="0"/>
          <w:sz w:val="24"/>
          <w:szCs w:val="24"/>
        </w:rPr>
      </w:pP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组合效果显著：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br/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尽管部分子策略的最大回撤超过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30%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，但通过科学的风险配置与权重优化，整个组合将最大回撤控制在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15%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以内，同时实现了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65%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的年化收益，夏普比率大幅提升，展现出卓越的风险调整后收益能力。</w:t>
      </w:r>
    </w:p>
    <w:p w:rsidR="00890DED" w:rsidRPr="00890DED" w:rsidRDefault="00890DED" w:rsidP="00890DED">
      <w:pPr>
        <w:widowControl/>
        <w:shd w:val="clear" w:color="auto" w:fill="FFFFFF"/>
        <w:wordWrap w:val="0"/>
        <w:jc w:val="left"/>
        <w:rPr>
          <w:rFonts w:ascii="Segoe UI" w:eastAsia="宋体" w:hAnsi="Segoe UI" w:cs="Segoe UI"/>
          <w:color w:val="333333"/>
          <w:kern w:val="0"/>
          <w:sz w:val="24"/>
          <w:szCs w:val="24"/>
        </w:rPr>
      </w:pPr>
      <w:r w:rsidRPr="00890DED">
        <w:rPr>
          <w:rFonts w:ascii="Segoe UI" w:eastAsia="宋体" w:hAnsi="Segoe UI" w:cs="Segoe UI"/>
          <w:b/>
          <w:bCs/>
          <w:color w:val="333333"/>
          <w:kern w:val="0"/>
          <w:sz w:val="24"/>
          <w:szCs w:val="24"/>
        </w:rPr>
        <w:t>三、核心子策略原理详解</w:t>
      </w:r>
    </w:p>
    <w:p w:rsidR="00890DED" w:rsidRPr="00890DED" w:rsidRDefault="00890DED" w:rsidP="00890DED">
      <w:pPr>
        <w:widowControl/>
        <w:shd w:val="clear" w:color="auto" w:fill="FFFFFF"/>
        <w:wordWrap w:val="0"/>
        <w:jc w:val="left"/>
        <w:rPr>
          <w:rFonts w:ascii="Segoe UI" w:eastAsia="宋体" w:hAnsi="Segoe UI" w:cs="Segoe UI"/>
          <w:color w:val="333333"/>
          <w:kern w:val="0"/>
          <w:sz w:val="24"/>
          <w:szCs w:val="24"/>
        </w:rPr>
      </w:pPr>
      <w:r w:rsidRPr="00890DED">
        <w:rPr>
          <w:rFonts w:ascii="Segoe UI" w:eastAsia="宋体" w:hAnsi="Segoe UI" w:cs="Segoe UI"/>
          <w:b/>
          <w:bCs/>
          <w:color w:val="333333"/>
          <w:kern w:val="0"/>
          <w:sz w:val="24"/>
          <w:szCs w:val="24"/>
        </w:rPr>
        <w:t>1). “</w:t>
      </w:r>
      <w:r w:rsidRPr="00890DED">
        <w:rPr>
          <w:rFonts w:ascii="Segoe UI" w:eastAsia="宋体" w:hAnsi="Segoe UI" w:cs="Segoe UI"/>
          <w:b/>
          <w:bCs/>
          <w:color w:val="333333"/>
          <w:kern w:val="0"/>
          <w:sz w:val="24"/>
          <w:szCs w:val="24"/>
        </w:rPr>
        <w:t>价值发现</w:t>
      </w:r>
      <w:r w:rsidRPr="00890DED">
        <w:rPr>
          <w:rFonts w:ascii="Segoe UI" w:eastAsia="宋体" w:hAnsi="Segoe UI" w:cs="Segoe UI"/>
          <w:b/>
          <w:bCs/>
          <w:color w:val="333333"/>
          <w:kern w:val="0"/>
          <w:sz w:val="24"/>
          <w:szCs w:val="24"/>
        </w:rPr>
        <w:t>”</w:t>
      </w:r>
      <w:r w:rsidRPr="00890DED">
        <w:rPr>
          <w:rFonts w:ascii="Segoe UI" w:eastAsia="宋体" w:hAnsi="Segoe UI" w:cs="Segoe UI"/>
          <w:b/>
          <w:bCs/>
          <w:color w:val="333333"/>
          <w:kern w:val="0"/>
          <w:sz w:val="24"/>
          <w:szCs w:val="24"/>
        </w:rPr>
        <w:t>策略的演进之路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br/>
        <w:t>“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价值发现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”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策略最初于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2017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年研发完成，其核心思想是从财务基本面出发，挖掘被市场低估的优质企业，等待价值回归带来的长期回报。收益来源主要包括：</w:t>
      </w:r>
    </w:p>
    <w:p w:rsidR="00890DED" w:rsidRPr="00890DED" w:rsidRDefault="00890DED" w:rsidP="00890DED">
      <w:pPr>
        <w:widowControl/>
        <w:shd w:val="clear" w:color="auto" w:fill="FFFFFF"/>
        <w:wordWrap w:val="0"/>
        <w:spacing w:after="300"/>
        <w:jc w:val="left"/>
        <w:rPr>
          <w:rFonts w:ascii="Segoe UI" w:eastAsia="宋体" w:hAnsi="Segoe UI" w:cs="Segoe UI"/>
          <w:color w:val="333333"/>
          <w:kern w:val="0"/>
          <w:sz w:val="24"/>
          <w:szCs w:val="24"/>
        </w:rPr>
      </w:pP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·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企业业绩增长驱动</w:t>
      </w:r>
    </w:p>
    <w:p w:rsidR="00890DED" w:rsidRPr="00890DED" w:rsidRDefault="00890DED" w:rsidP="00890DED">
      <w:pPr>
        <w:widowControl/>
        <w:shd w:val="clear" w:color="auto" w:fill="FFFFFF"/>
        <w:wordWrap w:val="0"/>
        <w:spacing w:after="300"/>
        <w:jc w:val="left"/>
        <w:rPr>
          <w:rFonts w:ascii="Segoe UI" w:eastAsia="宋体" w:hAnsi="Segoe UI" w:cs="Segoe UI"/>
          <w:color w:val="333333"/>
          <w:kern w:val="0"/>
          <w:sz w:val="24"/>
          <w:szCs w:val="24"/>
        </w:rPr>
      </w:pP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·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市场风格切换带来的估值提升</w:t>
      </w:r>
    </w:p>
    <w:p w:rsidR="00890DED" w:rsidRPr="00890DED" w:rsidRDefault="00890DED" w:rsidP="00890DED">
      <w:pPr>
        <w:widowControl/>
        <w:shd w:val="clear" w:color="auto" w:fill="FFFFFF"/>
        <w:wordWrap w:val="0"/>
        <w:spacing w:after="300"/>
        <w:jc w:val="left"/>
        <w:rPr>
          <w:rFonts w:ascii="Segoe UI" w:eastAsia="宋体" w:hAnsi="Segoe UI" w:cs="Segoe UI"/>
          <w:color w:val="333333"/>
          <w:kern w:val="0"/>
          <w:sz w:val="24"/>
          <w:szCs w:val="24"/>
        </w:rPr>
      </w:pP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·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价格围绕价值的周期性波动与回归</w:t>
      </w:r>
    </w:p>
    <w:p w:rsidR="00890DED" w:rsidRPr="00890DED" w:rsidRDefault="00890DED" w:rsidP="00890DED">
      <w:pPr>
        <w:widowControl/>
        <w:shd w:val="clear" w:color="auto" w:fill="FFFFFF"/>
        <w:wordWrap w:val="0"/>
        <w:spacing w:after="300"/>
        <w:jc w:val="left"/>
        <w:rPr>
          <w:rFonts w:ascii="Segoe UI" w:eastAsia="宋体" w:hAnsi="Segoe UI" w:cs="Segoe UI"/>
          <w:color w:val="333333"/>
          <w:kern w:val="0"/>
          <w:sz w:val="24"/>
          <w:szCs w:val="24"/>
        </w:rPr>
      </w:pP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我们始终坚持投资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“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好公司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”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的原则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——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即具备以下特征的企业：</w:t>
      </w:r>
    </w:p>
    <w:p w:rsidR="00890DED" w:rsidRPr="00890DED" w:rsidRDefault="00890DED" w:rsidP="00890DED">
      <w:pPr>
        <w:widowControl/>
        <w:shd w:val="clear" w:color="auto" w:fill="FFFFFF"/>
        <w:wordWrap w:val="0"/>
        <w:spacing w:after="300"/>
        <w:jc w:val="left"/>
        <w:rPr>
          <w:rFonts w:ascii="Segoe UI" w:eastAsia="宋体" w:hAnsi="Segoe UI" w:cs="Segoe UI"/>
          <w:color w:val="333333"/>
          <w:kern w:val="0"/>
          <w:sz w:val="24"/>
          <w:szCs w:val="24"/>
        </w:rPr>
      </w:pP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·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好生意：高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ROE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、强盈利能力、健康的负债结构</w:t>
      </w:r>
    </w:p>
    <w:p w:rsidR="00890DED" w:rsidRPr="00890DED" w:rsidRDefault="00890DED" w:rsidP="00890DED">
      <w:pPr>
        <w:widowControl/>
        <w:shd w:val="clear" w:color="auto" w:fill="FFFFFF"/>
        <w:wordWrap w:val="0"/>
        <w:spacing w:after="300"/>
        <w:jc w:val="left"/>
        <w:rPr>
          <w:rFonts w:ascii="Segoe UI" w:eastAsia="宋体" w:hAnsi="Segoe UI" w:cs="Segoe UI"/>
          <w:color w:val="333333"/>
          <w:kern w:val="0"/>
          <w:sz w:val="24"/>
          <w:szCs w:val="24"/>
        </w:rPr>
      </w:pP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·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成长性：营收与利润同步增长</w:t>
      </w:r>
    </w:p>
    <w:p w:rsidR="00890DED" w:rsidRPr="00890DED" w:rsidRDefault="00890DED" w:rsidP="00890DED">
      <w:pPr>
        <w:widowControl/>
        <w:shd w:val="clear" w:color="auto" w:fill="FFFFFF"/>
        <w:wordWrap w:val="0"/>
        <w:spacing w:after="300"/>
        <w:jc w:val="left"/>
        <w:rPr>
          <w:rFonts w:ascii="Segoe UI" w:eastAsia="宋体" w:hAnsi="Segoe UI" w:cs="Segoe UI"/>
          <w:color w:val="333333"/>
          <w:kern w:val="0"/>
          <w:sz w:val="24"/>
          <w:szCs w:val="24"/>
        </w:rPr>
      </w:pP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lastRenderedPageBreak/>
        <w:t>·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市场认可：机构持仓稳定、流动性良好</w:t>
      </w:r>
    </w:p>
    <w:p w:rsidR="00890DED" w:rsidRPr="00890DED" w:rsidRDefault="00890DED" w:rsidP="00890DED">
      <w:pPr>
        <w:widowControl/>
        <w:shd w:val="clear" w:color="auto" w:fill="FFFFFF"/>
        <w:wordWrap w:val="0"/>
        <w:spacing w:after="300"/>
        <w:jc w:val="left"/>
        <w:rPr>
          <w:rFonts w:ascii="Segoe UI" w:eastAsia="宋体" w:hAnsi="Segoe UI" w:cs="Segoe UI"/>
          <w:color w:val="333333"/>
          <w:kern w:val="0"/>
          <w:sz w:val="24"/>
          <w:szCs w:val="24"/>
        </w:rPr>
      </w:pP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但我们也深知：再好的公司，若买入价格过高，也可能导致长期亏损。因此，策略特别关注估值水平，避免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“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贵买好股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”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的陷阱。</w:t>
      </w:r>
    </w:p>
    <w:p w:rsidR="00890DED" w:rsidRPr="00890DED" w:rsidRDefault="00890DED" w:rsidP="00890DED">
      <w:pPr>
        <w:widowControl/>
        <w:shd w:val="clear" w:color="auto" w:fill="FFFFFF"/>
        <w:wordWrap w:val="0"/>
        <w:spacing w:after="300"/>
        <w:jc w:val="left"/>
        <w:rPr>
          <w:rFonts w:ascii="Segoe UI" w:eastAsia="宋体" w:hAnsi="Segoe UI" w:cs="Segoe UI"/>
          <w:color w:val="333333"/>
          <w:kern w:val="0"/>
          <w:sz w:val="24"/>
          <w:szCs w:val="24"/>
        </w:rPr>
      </w:pP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通过对沪深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300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活跃成分股的研究，我们发现市场存在清晰的定价逻辑，主要由三大因子决定：</w:t>
      </w:r>
    </w:p>
    <w:p w:rsidR="00890DED" w:rsidRPr="00890DED" w:rsidRDefault="00890DED" w:rsidP="00890DED">
      <w:pPr>
        <w:widowControl/>
        <w:shd w:val="clear" w:color="auto" w:fill="FFFFFF"/>
        <w:wordWrap w:val="0"/>
        <w:spacing w:after="300"/>
        <w:jc w:val="left"/>
        <w:rPr>
          <w:rFonts w:ascii="Segoe UI" w:eastAsia="宋体" w:hAnsi="Segoe UI" w:cs="Segoe UI"/>
          <w:color w:val="333333"/>
          <w:kern w:val="0"/>
          <w:sz w:val="24"/>
          <w:szCs w:val="24"/>
        </w:rPr>
      </w:pP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1.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净资产收益率（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ROE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）</w:t>
      </w:r>
    </w:p>
    <w:p w:rsidR="00890DED" w:rsidRPr="00890DED" w:rsidRDefault="00890DED" w:rsidP="00890DED">
      <w:pPr>
        <w:widowControl/>
        <w:shd w:val="clear" w:color="auto" w:fill="FFFFFF"/>
        <w:wordWrap w:val="0"/>
        <w:spacing w:after="300"/>
        <w:jc w:val="left"/>
        <w:rPr>
          <w:rFonts w:ascii="Segoe UI" w:eastAsia="宋体" w:hAnsi="Segoe UI" w:cs="Segoe UI"/>
          <w:color w:val="333333"/>
          <w:kern w:val="0"/>
          <w:sz w:val="24"/>
          <w:szCs w:val="24"/>
        </w:rPr>
      </w:pP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2.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净利润增长率</w:t>
      </w:r>
    </w:p>
    <w:p w:rsidR="00890DED" w:rsidRPr="00890DED" w:rsidRDefault="00890DED" w:rsidP="00890DED">
      <w:pPr>
        <w:widowControl/>
        <w:shd w:val="clear" w:color="auto" w:fill="FFFFFF"/>
        <w:wordWrap w:val="0"/>
        <w:spacing w:after="300"/>
        <w:jc w:val="left"/>
        <w:rPr>
          <w:rFonts w:ascii="Segoe UI" w:eastAsia="宋体" w:hAnsi="Segoe UI" w:cs="Segoe UI"/>
          <w:color w:val="333333"/>
          <w:kern w:val="0"/>
          <w:sz w:val="24"/>
          <w:szCs w:val="24"/>
        </w:rPr>
      </w:pP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3.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当前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PE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与预估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PE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之差</w:t>
      </w:r>
    </w:p>
    <w:p w:rsidR="00890DED" w:rsidRPr="00890DED" w:rsidRDefault="00890DED" w:rsidP="00890DED">
      <w:pPr>
        <w:widowControl/>
        <w:shd w:val="clear" w:color="auto" w:fill="FFFFFF"/>
        <w:wordWrap w:val="0"/>
        <w:spacing w:after="300"/>
        <w:jc w:val="left"/>
        <w:rPr>
          <w:rFonts w:ascii="Segoe UI" w:eastAsia="宋体" w:hAnsi="Segoe UI" w:cs="Segoe UI"/>
          <w:color w:val="333333"/>
          <w:kern w:val="0"/>
          <w:sz w:val="24"/>
          <w:szCs w:val="24"/>
        </w:rPr>
      </w:pP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通俗而言：相同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ROE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下优先选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PE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低的，相同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PE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下优先选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ROE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高的，两者相近时则关注成长性。基于此逻辑构建的初代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“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价值发现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”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策略，在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2019–2021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年间年均收益超过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65%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，表现优异。</w:t>
      </w:r>
    </w:p>
    <w:p w:rsidR="00890DED" w:rsidRPr="00890DED" w:rsidRDefault="00890DED" w:rsidP="00890DED">
      <w:pPr>
        <w:widowControl/>
        <w:shd w:val="clear" w:color="auto" w:fill="FFFFFF"/>
        <w:wordWrap w:val="0"/>
        <w:jc w:val="left"/>
        <w:rPr>
          <w:rFonts w:ascii="Segoe UI" w:eastAsia="宋体" w:hAnsi="Segoe UI" w:cs="Segoe UI"/>
          <w:color w:val="333333"/>
          <w:kern w:val="0"/>
          <w:sz w:val="24"/>
          <w:szCs w:val="24"/>
        </w:rPr>
      </w:pPr>
      <w:r w:rsidRPr="00890DED">
        <w:rPr>
          <w:rFonts w:ascii="Segoe UI" w:eastAsia="宋体" w:hAnsi="Segoe UI" w:cs="Segoe UI"/>
          <w:b/>
          <w:bCs/>
          <w:color w:val="333333"/>
          <w:kern w:val="0"/>
          <w:sz w:val="24"/>
          <w:szCs w:val="24"/>
        </w:rPr>
        <w:t>“</w:t>
      </w:r>
      <w:r w:rsidRPr="00890DED">
        <w:rPr>
          <w:rFonts w:ascii="Segoe UI" w:eastAsia="宋体" w:hAnsi="Segoe UI" w:cs="Segoe UI"/>
          <w:b/>
          <w:bCs/>
          <w:color w:val="333333"/>
          <w:kern w:val="0"/>
          <w:sz w:val="24"/>
          <w:szCs w:val="24"/>
        </w:rPr>
        <w:t>价值发现</w:t>
      </w:r>
      <w:r w:rsidRPr="00890DED">
        <w:rPr>
          <w:rFonts w:ascii="Segoe UI" w:eastAsia="宋体" w:hAnsi="Segoe UI" w:cs="Segoe UI"/>
          <w:b/>
          <w:bCs/>
          <w:color w:val="333333"/>
          <w:kern w:val="0"/>
          <w:sz w:val="24"/>
          <w:szCs w:val="24"/>
        </w:rPr>
        <w:t>”</w:t>
      </w:r>
      <w:r w:rsidRPr="00890DED">
        <w:rPr>
          <w:rFonts w:ascii="Segoe UI" w:eastAsia="宋体" w:hAnsi="Segoe UI" w:cs="Segoe UI"/>
          <w:b/>
          <w:bCs/>
          <w:color w:val="333333"/>
          <w:kern w:val="0"/>
          <w:sz w:val="24"/>
          <w:szCs w:val="24"/>
        </w:rPr>
        <w:t>策略的升级：从</w:t>
      </w:r>
      <w:r w:rsidRPr="00890DED">
        <w:rPr>
          <w:rFonts w:ascii="Segoe UI" w:eastAsia="宋体" w:hAnsi="Segoe UI" w:cs="Segoe UI"/>
          <w:b/>
          <w:bCs/>
          <w:color w:val="333333"/>
          <w:kern w:val="0"/>
          <w:sz w:val="24"/>
          <w:szCs w:val="24"/>
        </w:rPr>
        <w:t>“</w:t>
      </w:r>
      <w:r w:rsidRPr="00890DED">
        <w:rPr>
          <w:rFonts w:ascii="Segoe UI" w:eastAsia="宋体" w:hAnsi="Segoe UI" w:cs="Segoe UI"/>
          <w:b/>
          <w:bCs/>
          <w:color w:val="333333"/>
          <w:kern w:val="0"/>
          <w:sz w:val="24"/>
          <w:szCs w:val="24"/>
        </w:rPr>
        <w:t>进攻</w:t>
      </w:r>
      <w:r w:rsidRPr="00890DED">
        <w:rPr>
          <w:rFonts w:ascii="Segoe UI" w:eastAsia="宋体" w:hAnsi="Segoe UI" w:cs="Segoe UI"/>
          <w:b/>
          <w:bCs/>
          <w:color w:val="333333"/>
          <w:kern w:val="0"/>
          <w:sz w:val="24"/>
          <w:szCs w:val="24"/>
        </w:rPr>
        <w:t>”</w:t>
      </w:r>
      <w:r w:rsidRPr="00890DED">
        <w:rPr>
          <w:rFonts w:ascii="Segoe UI" w:eastAsia="宋体" w:hAnsi="Segoe UI" w:cs="Segoe UI"/>
          <w:b/>
          <w:bCs/>
          <w:color w:val="333333"/>
          <w:kern w:val="0"/>
          <w:sz w:val="24"/>
          <w:szCs w:val="24"/>
        </w:rPr>
        <w:t>到</w:t>
      </w:r>
      <w:r w:rsidRPr="00890DED">
        <w:rPr>
          <w:rFonts w:ascii="Segoe UI" w:eastAsia="宋体" w:hAnsi="Segoe UI" w:cs="Segoe UI"/>
          <w:b/>
          <w:bCs/>
          <w:color w:val="333333"/>
          <w:kern w:val="0"/>
          <w:sz w:val="24"/>
          <w:szCs w:val="24"/>
        </w:rPr>
        <w:t>“</w:t>
      </w:r>
      <w:r w:rsidRPr="00890DED">
        <w:rPr>
          <w:rFonts w:ascii="Segoe UI" w:eastAsia="宋体" w:hAnsi="Segoe UI" w:cs="Segoe UI"/>
          <w:b/>
          <w:bCs/>
          <w:color w:val="333333"/>
          <w:kern w:val="0"/>
          <w:sz w:val="24"/>
          <w:szCs w:val="24"/>
        </w:rPr>
        <w:t>攻守兼备</w:t>
      </w:r>
      <w:r w:rsidRPr="00890DED">
        <w:rPr>
          <w:rFonts w:ascii="Segoe UI" w:eastAsia="宋体" w:hAnsi="Segoe UI" w:cs="Segoe UI"/>
          <w:b/>
          <w:bCs/>
          <w:color w:val="333333"/>
          <w:kern w:val="0"/>
          <w:sz w:val="24"/>
          <w:szCs w:val="24"/>
        </w:rPr>
        <w:t>”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br/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然而，自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2022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年起，随着白马股票的回落，策略也经历了长时间的回撤。复盘后我们认识到：</w:t>
      </w:r>
      <w:r w:rsidRPr="00890DED">
        <w:rPr>
          <w:rFonts w:ascii="Segoe UI" w:eastAsia="宋体" w:hAnsi="Segoe UI" w:cs="Segoe UI"/>
          <w:b/>
          <w:bCs/>
          <w:color w:val="333333"/>
          <w:kern w:val="0"/>
          <w:sz w:val="24"/>
          <w:szCs w:val="24"/>
        </w:rPr>
        <w:t>原有策略诞生于经济上行周期，偏重成长与进攻，缺乏应对经济下行期的防御机制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。</w:t>
      </w:r>
    </w:p>
    <w:p w:rsidR="00890DED" w:rsidRPr="00890DED" w:rsidRDefault="00890DED" w:rsidP="00890DED">
      <w:pPr>
        <w:widowControl/>
        <w:shd w:val="clear" w:color="auto" w:fill="FFFFFF"/>
        <w:wordWrap w:val="0"/>
        <w:spacing w:after="300"/>
        <w:jc w:val="left"/>
        <w:rPr>
          <w:rFonts w:ascii="Segoe UI" w:eastAsia="宋体" w:hAnsi="Segoe UI" w:cs="Segoe UI"/>
          <w:color w:val="333333"/>
          <w:kern w:val="0"/>
          <w:sz w:val="24"/>
          <w:szCs w:val="24"/>
        </w:rPr>
      </w:pP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为此，我们在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2024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年完成了策略的重大升级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——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引入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“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市场温度模型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”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，将市场划分为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“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冷、暖、热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”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三种状态，并在不同温度下采用差异化选股标准：</w:t>
      </w:r>
    </w:p>
    <w:p w:rsidR="00890DED" w:rsidRPr="00890DED" w:rsidRDefault="00890DED" w:rsidP="00890DED">
      <w:pPr>
        <w:widowControl/>
        <w:shd w:val="clear" w:color="auto" w:fill="FFFFFF"/>
        <w:wordWrap w:val="0"/>
        <w:spacing w:after="300"/>
        <w:jc w:val="left"/>
        <w:rPr>
          <w:rFonts w:ascii="Segoe UI" w:eastAsia="宋体" w:hAnsi="Segoe UI" w:cs="Segoe UI"/>
          <w:color w:val="333333"/>
          <w:kern w:val="0"/>
          <w:sz w:val="24"/>
          <w:szCs w:val="24"/>
        </w:rPr>
      </w:pP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·“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热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”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市：控制仓位，聚焦高确定性龙头</w:t>
      </w:r>
    </w:p>
    <w:p w:rsidR="00890DED" w:rsidRPr="00890DED" w:rsidRDefault="00890DED" w:rsidP="00890DED">
      <w:pPr>
        <w:widowControl/>
        <w:shd w:val="clear" w:color="auto" w:fill="FFFFFF"/>
        <w:wordWrap w:val="0"/>
        <w:spacing w:after="300"/>
        <w:jc w:val="left"/>
        <w:rPr>
          <w:rFonts w:ascii="Segoe UI" w:eastAsia="宋体" w:hAnsi="Segoe UI" w:cs="Segoe UI"/>
          <w:color w:val="333333"/>
          <w:kern w:val="0"/>
          <w:sz w:val="24"/>
          <w:szCs w:val="24"/>
        </w:rPr>
      </w:pP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·“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暖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”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市：均衡配置，兼顾成长与估值</w:t>
      </w:r>
    </w:p>
    <w:p w:rsidR="00890DED" w:rsidRPr="00890DED" w:rsidRDefault="00890DED" w:rsidP="00890DED">
      <w:pPr>
        <w:widowControl/>
        <w:shd w:val="clear" w:color="auto" w:fill="FFFFFF"/>
        <w:wordWrap w:val="0"/>
        <w:spacing w:after="300"/>
        <w:jc w:val="left"/>
        <w:rPr>
          <w:rFonts w:ascii="Segoe UI" w:eastAsia="宋体" w:hAnsi="Segoe UI" w:cs="Segoe UI"/>
          <w:color w:val="333333"/>
          <w:kern w:val="0"/>
          <w:sz w:val="24"/>
          <w:szCs w:val="24"/>
        </w:rPr>
      </w:pP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lastRenderedPageBreak/>
        <w:t>·“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冷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”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市：强化防御，优先选择现金流充沛、抗周期能力强的企业</w:t>
      </w:r>
    </w:p>
    <w:p w:rsidR="00890DED" w:rsidRPr="00890DED" w:rsidRDefault="00890DED" w:rsidP="00890DED">
      <w:pPr>
        <w:widowControl/>
        <w:shd w:val="clear" w:color="auto" w:fill="FFFFFF"/>
        <w:wordWrap w:val="0"/>
        <w:jc w:val="left"/>
        <w:rPr>
          <w:rFonts w:ascii="Segoe UI" w:eastAsia="宋体" w:hAnsi="Segoe UI" w:cs="Segoe UI"/>
          <w:color w:val="333333"/>
          <w:kern w:val="0"/>
          <w:sz w:val="24"/>
          <w:szCs w:val="24"/>
        </w:rPr>
      </w:pP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这一升级使策略具备了更强的适应性与韧性。新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“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价值发现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”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策略自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2025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年实盘运行以来，</w:t>
      </w:r>
      <w:r w:rsidRPr="00890DED">
        <w:rPr>
          <w:rFonts w:ascii="Segoe UI" w:eastAsia="宋体" w:hAnsi="Segoe UI" w:cs="Segoe UI"/>
          <w:b/>
          <w:bCs/>
          <w:color w:val="333333"/>
          <w:kern w:val="0"/>
          <w:sz w:val="24"/>
          <w:szCs w:val="24"/>
        </w:rPr>
        <w:t>截至</w:t>
      </w:r>
      <w:r w:rsidRPr="00890DED">
        <w:rPr>
          <w:rFonts w:ascii="Segoe UI" w:eastAsia="宋体" w:hAnsi="Segoe UI" w:cs="Segoe UI"/>
          <w:b/>
          <w:bCs/>
          <w:color w:val="333333"/>
          <w:kern w:val="0"/>
          <w:sz w:val="24"/>
          <w:szCs w:val="24"/>
        </w:rPr>
        <w:t>2025</w:t>
      </w:r>
      <w:r w:rsidRPr="00890DED">
        <w:rPr>
          <w:rFonts w:ascii="Segoe UI" w:eastAsia="宋体" w:hAnsi="Segoe UI" w:cs="Segoe UI"/>
          <w:b/>
          <w:bCs/>
          <w:color w:val="333333"/>
          <w:kern w:val="0"/>
          <w:sz w:val="24"/>
          <w:szCs w:val="24"/>
        </w:rPr>
        <w:t>年</w:t>
      </w:r>
      <w:r w:rsidRPr="00890DED">
        <w:rPr>
          <w:rFonts w:ascii="Segoe UI" w:eastAsia="宋体" w:hAnsi="Segoe UI" w:cs="Segoe UI"/>
          <w:b/>
          <w:bCs/>
          <w:color w:val="333333"/>
          <w:kern w:val="0"/>
          <w:sz w:val="24"/>
          <w:szCs w:val="24"/>
        </w:rPr>
        <w:t>10</w:t>
      </w:r>
      <w:r w:rsidRPr="00890DED">
        <w:rPr>
          <w:rFonts w:ascii="Segoe UI" w:eastAsia="宋体" w:hAnsi="Segoe UI" w:cs="Segoe UI"/>
          <w:b/>
          <w:bCs/>
          <w:color w:val="333333"/>
          <w:kern w:val="0"/>
          <w:sz w:val="24"/>
          <w:szCs w:val="24"/>
        </w:rPr>
        <w:t>月，期间收益已达</w:t>
      </w:r>
      <w:r w:rsidRPr="00890DED">
        <w:rPr>
          <w:rFonts w:ascii="Segoe UI" w:eastAsia="宋体" w:hAnsi="Segoe UI" w:cs="Segoe UI"/>
          <w:b/>
          <w:bCs/>
          <w:color w:val="333333"/>
          <w:kern w:val="0"/>
          <w:sz w:val="24"/>
          <w:szCs w:val="24"/>
        </w:rPr>
        <w:t>110%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，表现出色。</w:t>
      </w:r>
    </w:p>
    <w:p w:rsidR="00890DED" w:rsidRPr="00890DED" w:rsidRDefault="00890DED" w:rsidP="00890DED">
      <w:pPr>
        <w:widowControl/>
        <w:shd w:val="clear" w:color="auto" w:fill="FFFFFF"/>
        <w:wordWrap w:val="0"/>
        <w:jc w:val="left"/>
        <w:rPr>
          <w:rFonts w:ascii="Segoe UI" w:eastAsia="宋体" w:hAnsi="Segoe UI" w:cs="Segoe UI"/>
          <w:color w:val="333333"/>
          <w:kern w:val="0"/>
          <w:sz w:val="24"/>
          <w:szCs w:val="24"/>
        </w:rPr>
      </w:pPr>
      <w:r w:rsidRPr="00890DED">
        <w:rPr>
          <w:rFonts w:ascii="Segoe UI" w:eastAsia="宋体" w:hAnsi="Segoe UI" w:cs="Segoe UI"/>
          <w:b/>
          <w:bCs/>
          <w:color w:val="333333"/>
          <w:kern w:val="0"/>
          <w:sz w:val="24"/>
          <w:szCs w:val="24"/>
        </w:rPr>
        <w:t>2). “</w:t>
      </w:r>
      <w:r w:rsidRPr="00890DED">
        <w:rPr>
          <w:rFonts w:ascii="Segoe UI" w:eastAsia="宋体" w:hAnsi="Segoe UI" w:cs="Segoe UI"/>
          <w:b/>
          <w:bCs/>
          <w:color w:val="333333"/>
          <w:kern w:val="0"/>
          <w:sz w:val="24"/>
          <w:szCs w:val="24"/>
        </w:rPr>
        <w:t>白马攻防</w:t>
      </w:r>
      <w:r w:rsidRPr="00890DED">
        <w:rPr>
          <w:rFonts w:ascii="Segoe UI" w:eastAsia="宋体" w:hAnsi="Segoe UI" w:cs="Segoe UI"/>
          <w:b/>
          <w:bCs/>
          <w:color w:val="333333"/>
          <w:kern w:val="0"/>
          <w:sz w:val="24"/>
          <w:szCs w:val="24"/>
        </w:rPr>
        <w:t>”</w:t>
      </w:r>
      <w:r w:rsidRPr="00890DED">
        <w:rPr>
          <w:rFonts w:ascii="Segoe UI" w:eastAsia="宋体" w:hAnsi="Segoe UI" w:cs="Segoe UI"/>
          <w:b/>
          <w:bCs/>
          <w:color w:val="333333"/>
          <w:kern w:val="0"/>
          <w:sz w:val="24"/>
          <w:szCs w:val="24"/>
        </w:rPr>
        <w:t>策略：稳健基石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br/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在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“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市场温度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”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理念的基础上，我们进一步开发了更具防守属性的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“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白马攻防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”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策略。该策略聚焦于经营稳定、分红潜力大、现金流充裕的蓝筹白马股，通过更严格的财务筛选标准，长期持有优质核心资产。</w:t>
      </w:r>
    </w:p>
    <w:p w:rsidR="00890DED" w:rsidRPr="00890DED" w:rsidRDefault="00890DED" w:rsidP="00890DED">
      <w:pPr>
        <w:widowControl/>
        <w:shd w:val="clear" w:color="auto" w:fill="FFFFFF"/>
        <w:wordWrap w:val="0"/>
        <w:spacing w:after="300"/>
        <w:jc w:val="left"/>
        <w:rPr>
          <w:rFonts w:ascii="Segoe UI" w:eastAsia="宋体" w:hAnsi="Segoe UI" w:cs="Segoe UI"/>
          <w:color w:val="333333"/>
          <w:kern w:val="0"/>
          <w:sz w:val="24"/>
          <w:szCs w:val="24"/>
        </w:rPr>
      </w:pP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策略自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2024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年中期上线以来，收益持续稳定上行，成为组合中重要的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“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压舱石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”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，有效降低了整体波动。</w:t>
      </w:r>
    </w:p>
    <w:p w:rsidR="00890DED" w:rsidRPr="00890DED" w:rsidRDefault="00890DED" w:rsidP="00890DED">
      <w:pPr>
        <w:widowControl/>
        <w:shd w:val="clear" w:color="auto" w:fill="FFFFFF"/>
        <w:wordWrap w:val="0"/>
        <w:jc w:val="left"/>
        <w:rPr>
          <w:rFonts w:ascii="Segoe UI" w:eastAsia="宋体" w:hAnsi="Segoe UI" w:cs="Segoe UI"/>
          <w:color w:val="333333"/>
          <w:kern w:val="0"/>
          <w:sz w:val="24"/>
          <w:szCs w:val="24"/>
        </w:rPr>
      </w:pPr>
      <w:r w:rsidRPr="00890DED">
        <w:rPr>
          <w:rFonts w:ascii="Segoe UI" w:eastAsia="宋体" w:hAnsi="Segoe UI" w:cs="Segoe UI"/>
          <w:b/>
          <w:bCs/>
          <w:color w:val="333333"/>
          <w:kern w:val="0"/>
          <w:sz w:val="24"/>
          <w:szCs w:val="24"/>
        </w:rPr>
        <w:t>3). “</w:t>
      </w:r>
      <w:r w:rsidRPr="00890DED">
        <w:rPr>
          <w:rFonts w:ascii="Segoe UI" w:eastAsia="宋体" w:hAnsi="Segoe UI" w:cs="Segoe UI"/>
          <w:b/>
          <w:bCs/>
          <w:color w:val="333333"/>
          <w:kern w:val="0"/>
          <w:sz w:val="24"/>
          <w:szCs w:val="24"/>
        </w:rPr>
        <w:t>全市场绩优成长股</w:t>
      </w:r>
      <w:r w:rsidRPr="00890DED">
        <w:rPr>
          <w:rFonts w:ascii="Segoe UI" w:eastAsia="宋体" w:hAnsi="Segoe UI" w:cs="Segoe UI"/>
          <w:b/>
          <w:bCs/>
          <w:color w:val="333333"/>
          <w:kern w:val="0"/>
          <w:sz w:val="24"/>
          <w:szCs w:val="24"/>
        </w:rPr>
        <w:t>”</w:t>
      </w:r>
      <w:r w:rsidRPr="00890DED">
        <w:rPr>
          <w:rFonts w:ascii="Segoe UI" w:eastAsia="宋体" w:hAnsi="Segoe UI" w:cs="Segoe UI"/>
          <w:b/>
          <w:bCs/>
          <w:color w:val="333333"/>
          <w:kern w:val="0"/>
          <w:sz w:val="24"/>
          <w:szCs w:val="24"/>
        </w:rPr>
        <w:t>策略：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br/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在全市场中优选成长性好、盈利达到一定规模的绩优股票，每周轮动，外加盘中止盈止损。</w:t>
      </w:r>
    </w:p>
    <w:p w:rsidR="00890DED" w:rsidRPr="00890DED" w:rsidRDefault="00890DED" w:rsidP="00890DED">
      <w:pPr>
        <w:widowControl/>
        <w:shd w:val="clear" w:color="auto" w:fill="FFFFFF"/>
        <w:wordWrap w:val="0"/>
        <w:jc w:val="left"/>
        <w:rPr>
          <w:rFonts w:ascii="Segoe UI" w:eastAsia="宋体" w:hAnsi="Segoe UI" w:cs="Segoe UI"/>
          <w:color w:val="333333"/>
          <w:kern w:val="0"/>
          <w:sz w:val="24"/>
          <w:szCs w:val="24"/>
        </w:rPr>
      </w:pPr>
      <w:r w:rsidRPr="00890DED">
        <w:rPr>
          <w:rFonts w:ascii="Segoe UI" w:eastAsia="宋体" w:hAnsi="Segoe UI" w:cs="Segoe UI"/>
          <w:b/>
          <w:bCs/>
          <w:color w:val="333333"/>
          <w:kern w:val="0"/>
          <w:sz w:val="24"/>
          <w:szCs w:val="24"/>
        </w:rPr>
        <w:t>4). “</w:t>
      </w:r>
      <w:r w:rsidRPr="00890DED">
        <w:rPr>
          <w:rFonts w:ascii="Segoe UI" w:eastAsia="宋体" w:hAnsi="Segoe UI" w:cs="Segoe UI"/>
          <w:b/>
          <w:bCs/>
          <w:color w:val="333333"/>
          <w:kern w:val="0"/>
          <w:sz w:val="24"/>
          <w:szCs w:val="24"/>
        </w:rPr>
        <w:t>全市场低估绩优股</w:t>
      </w:r>
      <w:r w:rsidRPr="00890DED">
        <w:rPr>
          <w:rFonts w:ascii="Segoe UI" w:eastAsia="宋体" w:hAnsi="Segoe UI" w:cs="Segoe UI"/>
          <w:b/>
          <w:bCs/>
          <w:color w:val="333333"/>
          <w:kern w:val="0"/>
          <w:sz w:val="24"/>
          <w:szCs w:val="24"/>
        </w:rPr>
        <w:t>”</w:t>
      </w:r>
      <w:r w:rsidRPr="00890DED">
        <w:rPr>
          <w:rFonts w:ascii="Segoe UI" w:eastAsia="宋体" w:hAnsi="Segoe UI" w:cs="Segoe UI"/>
          <w:b/>
          <w:bCs/>
          <w:color w:val="333333"/>
          <w:kern w:val="0"/>
          <w:sz w:val="24"/>
          <w:szCs w:val="24"/>
        </w:rPr>
        <w:t>策略：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br/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在全市场中优选被低估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(PB)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、资产回报率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(ROA)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高的绩优股票，每周轮动，外加盘中止盈止损。</w:t>
      </w:r>
    </w:p>
    <w:p w:rsidR="00890DED" w:rsidRPr="00890DED" w:rsidRDefault="00890DED" w:rsidP="00890DED">
      <w:pPr>
        <w:widowControl/>
        <w:shd w:val="clear" w:color="auto" w:fill="FFFFFF"/>
        <w:wordWrap w:val="0"/>
        <w:jc w:val="left"/>
        <w:rPr>
          <w:rFonts w:ascii="Segoe UI" w:eastAsia="宋体" w:hAnsi="Segoe UI" w:cs="Segoe UI"/>
          <w:color w:val="333333"/>
          <w:kern w:val="0"/>
          <w:sz w:val="24"/>
          <w:szCs w:val="24"/>
        </w:rPr>
      </w:pPr>
      <w:r w:rsidRPr="00890DED">
        <w:rPr>
          <w:rFonts w:ascii="Segoe UI" w:eastAsia="宋体" w:hAnsi="Segoe UI" w:cs="Segoe UI"/>
          <w:b/>
          <w:bCs/>
          <w:color w:val="333333"/>
          <w:kern w:val="0"/>
          <w:sz w:val="24"/>
          <w:szCs w:val="24"/>
        </w:rPr>
        <w:t>5). “</w:t>
      </w:r>
      <w:r w:rsidRPr="00890DED">
        <w:rPr>
          <w:rFonts w:ascii="Segoe UI" w:eastAsia="宋体" w:hAnsi="Segoe UI" w:cs="Segoe UI"/>
          <w:b/>
          <w:bCs/>
          <w:color w:val="333333"/>
          <w:kern w:val="0"/>
          <w:sz w:val="24"/>
          <w:szCs w:val="24"/>
        </w:rPr>
        <w:t>中小板价值低估股</w:t>
      </w:r>
      <w:r w:rsidRPr="00890DED">
        <w:rPr>
          <w:rFonts w:ascii="Segoe UI" w:eastAsia="宋体" w:hAnsi="Segoe UI" w:cs="Segoe UI"/>
          <w:b/>
          <w:bCs/>
          <w:color w:val="333333"/>
          <w:kern w:val="0"/>
          <w:sz w:val="24"/>
          <w:szCs w:val="24"/>
        </w:rPr>
        <w:t>”</w:t>
      </w:r>
      <w:r w:rsidRPr="00890DED">
        <w:rPr>
          <w:rFonts w:ascii="Segoe UI" w:eastAsia="宋体" w:hAnsi="Segoe UI" w:cs="Segoe UI"/>
          <w:b/>
          <w:bCs/>
          <w:color w:val="333333"/>
          <w:kern w:val="0"/>
          <w:sz w:val="24"/>
          <w:szCs w:val="24"/>
        </w:rPr>
        <w:t>策略：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br/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在中小板中优选被低估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(PB)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的小市值股票，每周轮动，外加盘中止盈止损。</w:t>
      </w:r>
    </w:p>
    <w:p w:rsidR="00890DED" w:rsidRPr="00890DED" w:rsidRDefault="00890DED" w:rsidP="00890DED">
      <w:pPr>
        <w:widowControl/>
        <w:shd w:val="clear" w:color="auto" w:fill="FFFFFF"/>
        <w:wordWrap w:val="0"/>
        <w:jc w:val="left"/>
        <w:rPr>
          <w:rFonts w:ascii="Segoe UI" w:eastAsia="宋体" w:hAnsi="Segoe UI" w:cs="Segoe UI"/>
          <w:color w:val="333333"/>
          <w:kern w:val="0"/>
          <w:sz w:val="24"/>
          <w:szCs w:val="24"/>
        </w:rPr>
      </w:pPr>
      <w:r w:rsidRPr="00890DED">
        <w:rPr>
          <w:rFonts w:ascii="Segoe UI" w:eastAsia="宋体" w:hAnsi="Segoe UI" w:cs="Segoe UI"/>
          <w:b/>
          <w:bCs/>
          <w:color w:val="333333"/>
          <w:kern w:val="0"/>
          <w:sz w:val="24"/>
          <w:szCs w:val="24"/>
        </w:rPr>
        <w:t>6). “</w:t>
      </w:r>
      <w:r w:rsidRPr="00890DED">
        <w:rPr>
          <w:rFonts w:ascii="Segoe UI" w:eastAsia="宋体" w:hAnsi="Segoe UI" w:cs="Segoe UI"/>
          <w:b/>
          <w:bCs/>
          <w:color w:val="333333"/>
          <w:kern w:val="0"/>
          <w:sz w:val="24"/>
          <w:szCs w:val="24"/>
        </w:rPr>
        <w:t>小盘股波动策略</w:t>
      </w:r>
      <w:r w:rsidRPr="00890DED">
        <w:rPr>
          <w:rFonts w:ascii="Segoe UI" w:eastAsia="宋体" w:hAnsi="Segoe UI" w:cs="Segoe UI"/>
          <w:b/>
          <w:bCs/>
          <w:color w:val="333333"/>
          <w:kern w:val="0"/>
          <w:sz w:val="24"/>
          <w:szCs w:val="24"/>
        </w:rPr>
        <w:t>”</w:t>
      </w:r>
      <w:r w:rsidRPr="00890DED">
        <w:rPr>
          <w:rFonts w:ascii="Segoe UI" w:eastAsia="宋体" w:hAnsi="Segoe UI" w:cs="Segoe UI"/>
          <w:b/>
          <w:bCs/>
          <w:color w:val="333333"/>
          <w:kern w:val="0"/>
          <w:sz w:val="24"/>
          <w:szCs w:val="24"/>
        </w:rPr>
        <w:t>策略：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br/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主板多因子小市值策略，每天轮动，外加盘中止盈止损。</w:t>
      </w:r>
    </w:p>
    <w:p w:rsidR="00890DED" w:rsidRPr="00890DED" w:rsidRDefault="00890DED" w:rsidP="00890DED">
      <w:pPr>
        <w:widowControl/>
        <w:shd w:val="clear" w:color="auto" w:fill="FFFFFF"/>
        <w:wordWrap w:val="0"/>
        <w:jc w:val="left"/>
        <w:rPr>
          <w:rFonts w:ascii="Segoe UI" w:eastAsia="宋体" w:hAnsi="Segoe UI" w:cs="Segoe UI"/>
          <w:color w:val="333333"/>
          <w:kern w:val="0"/>
          <w:sz w:val="24"/>
          <w:szCs w:val="24"/>
        </w:rPr>
      </w:pPr>
      <w:r w:rsidRPr="00890DED">
        <w:rPr>
          <w:rFonts w:ascii="Segoe UI" w:eastAsia="宋体" w:hAnsi="Segoe UI" w:cs="Segoe UI"/>
          <w:b/>
          <w:bCs/>
          <w:color w:val="333333"/>
          <w:kern w:val="0"/>
          <w:sz w:val="24"/>
          <w:szCs w:val="24"/>
        </w:rPr>
        <w:t>四、多策略的资金容量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br/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展示的多策略组合的持股数量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45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只左右，适合资金从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200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万到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2000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万。随着资金的扩大，可以扩容到持股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160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只左右，资金容量可以到亿级别。</w:t>
      </w:r>
    </w:p>
    <w:p w:rsidR="00890DED" w:rsidRPr="00890DED" w:rsidRDefault="00890DED" w:rsidP="00890DED">
      <w:pPr>
        <w:widowControl/>
        <w:shd w:val="clear" w:color="auto" w:fill="FFFFFF"/>
        <w:wordWrap w:val="0"/>
        <w:jc w:val="left"/>
        <w:rPr>
          <w:rFonts w:ascii="Segoe UI" w:eastAsia="宋体" w:hAnsi="Segoe UI" w:cs="Segoe UI"/>
          <w:color w:val="333333"/>
          <w:kern w:val="0"/>
          <w:sz w:val="24"/>
          <w:szCs w:val="24"/>
        </w:rPr>
      </w:pPr>
      <w:r w:rsidRPr="00890DED">
        <w:rPr>
          <w:rFonts w:ascii="Segoe UI" w:eastAsia="宋体" w:hAnsi="Segoe UI" w:cs="Segoe UI"/>
          <w:b/>
          <w:bCs/>
          <w:color w:val="333333"/>
          <w:kern w:val="0"/>
          <w:sz w:val="24"/>
          <w:szCs w:val="24"/>
        </w:rPr>
        <w:t>五、总结：多策略的本质是系统化生存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br/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多策略组合的本质，不是追求某一次爆发式的胜利，而是构建一个能在各种市场环境中持续存活并成长的系统。</w:t>
      </w:r>
    </w:p>
    <w:p w:rsidR="00890DED" w:rsidRPr="00890DED" w:rsidRDefault="00890DED" w:rsidP="00890DED">
      <w:pPr>
        <w:widowControl/>
        <w:shd w:val="clear" w:color="auto" w:fill="FFFFFF"/>
        <w:wordWrap w:val="0"/>
        <w:jc w:val="left"/>
        <w:rPr>
          <w:rFonts w:ascii="Segoe UI" w:eastAsia="宋体" w:hAnsi="Segoe UI" w:cs="Segoe UI"/>
          <w:color w:val="333333"/>
          <w:kern w:val="0"/>
          <w:sz w:val="24"/>
          <w:szCs w:val="24"/>
        </w:rPr>
      </w:pP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lastRenderedPageBreak/>
        <w:t>我们信奉现代投资的智慧：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“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不要把所有鸡蛋放在一个篮子里。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”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br/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我们更相信：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“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真正的长期收益，来自于系统的稳定性、持续性与抗风险能力。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”</w:t>
      </w:r>
    </w:p>
    <w:p w:rsidR="00890DED" w:rsidRPr="00890DED" w:rsidRDefault="00890DED" w:rsidP="00890DED">
      <w:pPr>
        <w:widowControl/>
        <w:shd w:val="clear" w:color="auto" w:fill="FFFFFF"/>
        <w:wordWrap w:val="0"/>
        <w:jc w:val="left"/>
        <w:rPr>
          <w:rFonts w:ascii="Segoe UI" w:eastAsia="宋体" w:hAnsi="Segoe UI" w:cs="Segoe UI"/>
          <w:color w:val="333333"/>
          <w:kern w:val="0"/>
          <w:sz w:val="24"/>
          <w:szCs w:val="24"/>
        </w:rPr>
      </w:pP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正如模拟与实证所展现的那样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——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br/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优秀的组合管理，不仅能显著降低回撤，更能提升收益的可预期性，让投资者在波动的市场中，走得更远、更安心。</w:t>
      </w:r>
    </w:p>
    <w:p w:rsidR="00890DED" w:rsidRPr="00890DED" w:rsidRDefault="00890DED" w:rsidP="00890DED">
      <w:pPr>
        <w:widowControl/>
        <w:shd w:val="clear" w:color="auto" w:fill="FFFFFF"/>
        <w:wordWrap w:val="0"/>
        <w:jc w:val="left"/>
        <w:rPr>
          <w:rFonts w:ascii="Segoe UI" w:eastAsia="宋体" w:hAnsi="Segoe UI" w:cs="Segoe UI"/>
          <w:color w:val="333333"/>
          <w:kern w:val="0"/>
          <w:sz w:val="24"/>
          <w:szCs w:val="24"/>
        </w:rPr>
      </w:pP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蚂蚁量化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 xml:space="preserve">| 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用系统战胜周期，以稳健赢得未来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br/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更新时间：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2025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年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10</w:t>
      </w:r>
      <w:r w:rsidRPr="00890DED">
        <w:rPr>
          <w:rFonts w:ascii="Segoe UI" w:eastAsia="宋体" w:hAnsi="Segoe UI" w:cs="Segoe UI"/>
          <w:color w:val="333333"/>
          <w:kern w:val="0"/>
          <w:sz w:val="24"/>
          <w:szCs w:val="24"/>
        </w:rPr>
        <w:t>月</w:t>
      </w:r>
    </w:p>
    <w:p w:rsidR="00425FCA" w:rsidRPr="00890DED" w:rsidRDefault="00425FCA"/>
    <w:sectPr w:rsidR="00425FCA" w:rsidRPr="00890DE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40953" w:rsidRDefault="00E40953" w:rsidP="00890DED">
      <w:r>
        <w:separator/>
      </w:r>
    </w:p>
  </w:endnote>
  <w:endnote w:type="continuationSeparator" w:id="0">
    <w:p w:rsidR="00E40953" w:rsidRDefault="00E40953" w:rsidP="00890D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40953" w:rsidRDefault="00E40953" w:rsidP="00890DED">
      <w:r>
        <w:separator/>
      </w:r>
    </w:p>
  </w:footnote>
  <w:footnote w:type="continuationSeparator" w:id="0">
    <w:p w:rsidR="00E40953" w:rsidRDefault="00E40953" w:rsidP="00890DE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1E5D"/>
    <w:rsid w:val="00425FCA"/>
    <w:rsid w:val="00890DED"/>
    <w:rsid w:val="009932B2"/>
    <w:rsid w:val="00BC1E5D"/>
    <w:rsid w:val="00CC7D44"/>
    <w:rsid w:val="00E409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3E6A214"/>
  <w15:chartTrackingRefBased/>
  <w15:docId w15:val="{512F28D0-5114-4282-AD19-68C9EA4DE3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90DED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890DED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890DE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890DED"/>
    <w:rPr>
      <w:sz w:val="18"/>
      <w:szCs w:val="18"/>
    </w:rPr>
  </w:style>
  <w:style w:type="paragraph" w:styleId="a7">
    <w:name w:val="Normal (Web)"/>
    <w:basedOn w:val="a"/>
    <w:uiPriority w:val="99"/>
    <w:semiHidden/>
    <w:unhideWhenUsed/>
    <w:rsid w:val="00890DED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a8">
    <w:name w:val="Strong"/>
    <w:basedOn w:val="a0"/>
    <w:uiPriority w:val="22"/>
    <w:qFormat/>
    <w:rsid w:val="00890DE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1712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796233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79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3290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gif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352</Words>
  <Characters>2009</Characters>
  <Application>Microsoft Office Word</Application>
  <DocSecurity>0</DocSecurity>
  <Lines>16</Lines>
  <Paragraphs>4</Paragraphs>
  <ScaleCrop>false</ScaleCrop>
  <Company>P R C</Company>
  <LinksUpToDate>false</LinksUpToDate>
  <CharactersWithSpaces>2357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Jim</dc:creator>
  <cp:keywords/>
  <dc:description/>
  <cp:lastModifiedBy>Jim</cp:lastModifiedBy>
  <cp:revision>3</cp:revision>
  <dcterms:created xsi:type="dcterms:W3CDTF">2025-11-02T13:35:00Z</dcterms:created>
  <dcterms:modified xsi:type="dcterms:W3CDTF">2025-11-02T13:50:00Z</dcterms:modified>
</cp:coreProperties>
</file>