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F4E79"/>
          <w:sz w:val="44"/>
        </w:rPr>
        <w:t>招商银行 A/H 股溢价与融资套利可行性分析报告</w:t>
      </w:r>
    </w:p>
    <w:p>
      <w:pPr>
        <w:jc w:val="center"/>
      </w:pPr>
      <w:r>
        <w:rPr>
          <w:rFonts w:ascii="Noto Sans CJK SC" w:hAnsi="Noto Sans CJK SC" w:eastAsia="Noto Sans CJK SC"/>
          <w:color w:val="666666"/>
          <w:sz w:val="24"/>
        </w:rPr>
        <w:t>基于近十年溢价演变、当前倒挂现象与融资融券约束的综合判断</w:t>
      </w:r>
    </w:p>
    <w:p>
      <w:pPr>
        <w:spacing w:before="4400"/>
        <w:jc w:val="center"/>
      </w:pPr>
      <w:r>
        <w:rPr>
          <w:rFonts w:ascii="Noto Sans CJK SC" w:hAnsi="Noto Sans CJK SC" w:eastAsia="Noto Sans CJK SC"/>
          <w:color w:val="666666"/>
          <w:sz w:val="21"/>
        </w:rPr>
        <w:t>报告日期：2026年5月6日</w:t>
        <w:br/>
        <w:t>用途：投资研究与交易框架参考</w:t>
      </w:r>
    </w:p>
    <w:p>
      <w:r>
        <w:br w:type="page"/>
      </w:r>
    </w:p>
    <w:p>
      <w:pPr>
        <w:pStyle w:val="Heading1"/>
      </w:pPr>
      <w:r>
        <w:t>一、核心结论</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项目</w:t>
            </w:r>
          </w:p>
        </w:tc>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结论</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溢价定义</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本报告采用 A/H 溢价 = A股价格 /（H股价格 × 港元兑人民币汇率）- 1；若为负，表示H股折合人民币后贵于A股。</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近十年变化</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招商银行的A/H价差从“A股常态溢价”逐步收敛，2025年后出现少见的H股反超A股，即“H股溢价/倒挂”。</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当前状态</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前文测算口径下，2026年5月6日附近招商银行A股约38元人民币，H股折合后约高于A股7%-8%；公开报道亦显示2026年4月中旬H股相对A股仍约有10%以上溢价。</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交易含义</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若只看同股同权和静态股息率，A股当前相对更便宜；若看港股资金面、南向资金和外资定价偏好，H股溢价短期可能维持。</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套利判断</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利用融资做AH价差套利在理论上可行，但实践上通常不是无风险套利。核心难点是不能跨市场转换交割，且融券、借券费、汇率、股息和保证金风险都会侵蚀收益。</w:t>
            </w:r>
          </w:p>
        </w:tc>
      </w:tr>
    </w:tbl>
    <w:p>
      <w:r>
        <w:rPr>
          <w:b/>
        </w:rPr>
        <w:t>一句话判断：</w:t>
      </w:r>
      <w:r>
        <w:t>招商银行AH溢价更适合作为“买A还是买H”的择边指标，而不是普通投资者高杠杆套利的机械信号。</w:t>
      </w:r>
    </w:p>
    <w:p>
      <w:pPr>
        <w:pStyle w:val="Heading1"/>
      </w:pPr>
      <w:r>
        <w:t>二、指标口径与测算方法</w:t>
      </w:r>
    </w:p>
    <w:p>
      <w:r>
        <w:t>A/H价差必须统一币种后比较。同一家公司A股以人民币报价，H股以港元报价，因此需要引入港元兑人民币汇率。</w:t>
      </w:r>
    </w:p>
    <w:p>
      <w:pPr>
        <w:jc w:val="center"/>
      </w:pPr>
      <w:r>
        <w:rPr>
          <w:b/>
          <w:color w:val="1F4E79"/>
          <w:sz w:val="24"/>
        </w:rPr>
        <w:t>A/H溢价 = A股价格 ÷（H股价格 × 港元兑人民币汇率）- 1</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项目</w:t>
            </w:r>
          </w:p>
        </w:tc>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结论</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A/H溢价 &gt; 0</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A股比H股贵，传统银行股更常见。</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A/H溢价 = 0</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两地价格经汇率折算后基本平价。</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A/H溢价 &lt; 0</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H股比A股贵，也可称为H股溢价或AH倒挂。</w:t>
            </w:r>
          </w:p>
        </w:tc>
      </w:tr>
    </w:tbl>
    <w:p>
      <w:r>
        <w:rPr>
          <w:b/>
        </w:rPr>
        <w:t>注意：</w:t>
      </w:r>
      <w:r>
        <w:t>AASTOCKS等网站有时采用“H股对A股溢价”的反向口径，正数表示H股更贵。阅读数据时必须先确认公式方向。</w:t>
      </w:r>
    </w:p>
    <w:p>
      <w:pPr>
        <w:pStyle w:val="Heading1"/>
      </w:pPr>
      <w:r>
        <w:t>三、招商银行近十年AH溢价演变</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336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阶段</w:t>
            </w:r>
          </w:p>
        </w:tc>
        <w:tc>
          <w:tcPr>
            <w:tcW w:type="dxa" w:w="336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溢价特征</w:t>
            </w:r>
          </w:p>
        </w:tc>
        <w:tc>
          <w:tcPr>
            <w:tcW w:type="dxa" w:w="336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主要解释</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2016-2020</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A股相对H股通常溢价</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两地市场分割、A股流动性和本土资金偏好更强，H股更受离岸市场风险偏好和汇率影响。</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2021-2022</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两地同步承压，价差仍未完全消失</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地产链、财富管理、净息差和零售信贷质量压力开始影响银行估值；招行仍具零售银行龙头溢价。</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2023-2024</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银行AH整体仍多为A股溢价</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港股银行折价较普遍；但招行因ROE、治理、财富管理与分红稳定性，A/H估值差相对行业更窄。</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2025</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价差快速收敛，出现H股反超A股</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南向资金和外资对港股核心资产重新定价，招行从“折价H股”逻辑转向“H股溢价”现象。</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2026至今</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H股溢价阶段性维持</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公开报道显示2026年2月H股相对A股溢价约10%，2026年4月中旬仍在10%上下；前文5月6日测算约7%-8%。</w:t>
            </w:r>
          </w:p>
        </w:tc>
      </w:tr>
    </w:tbl>
    <w:p>
      <w:pPr>
        <w:pStyle w:val="Heading1"/>
      </w:pPr>
      <w:r>
        <w:t>四、H股反超A股的原因</w:t>
      </w:r>
    </w:p>
    <w:p>
      <w:pPr>
        <w:pStyle w:val="ListBullet"/>
      </w:pPr>
      <w:r>
        <w:rPr>
          <w:b/>
        </w:rPr>
        <w:t>核心资产属性：</w:t>
      </w:r>
      <w:r>
        <w:t>招商银行在银行股中具备较强的零售银行、财富管理、ROE和分红标签，港股投资者愿意为稀缺优质资产支付更高估值。</w:t>
      </w:r>
    </w:p>
    <w:p>
      <w:pPr>
        <w:pStyle w:val="ListBullet"/>
      </w:pPr>
      <w:r>
        <w:rPr>
          <w:b/>
        </w:rPr>
        <w:t>南向资金定价：</w:t>
      </w:r>
      <w:r>
        <w:t>南向资金持续流入港股，带动高股息、低估值、核心资产重新定价，压缩传统AH折价。</w:t>
      </w:r>
    </w:p>
    <w:p>
      <w:pPr>
        <w:pStyle w:val="ListBullet"/>
      </w:pPr>
      <w:r>
        <w:rPr>
          <w:b/>
        </w:rPr>
        <w:t>两地投资者结构差异：</w:t>
      </w:r>
      <w:r>
        <w:t>A股投资者更关注净息差、地产风险和利润增速；港股投资者更直接按股息率、ROE和国际可比估值定价。</w:t>
      </w:r>
    </w:p>
    <w:p>
      <w:pPr>
        <w:pStyle w:val="ListBullet"/>
      </w:pPr>
      <w:r>
        <w:rPr>
          <w:b/>
        </w:rPr>
        <w:t>行业相对性：</w:t>
      </w:r>
      <w:r>
        <w:t>普通银行AH价差通常较大，但招商银行长期属于AH差价较窄的银行标的，因此更容易率先出现倒挂。</w:t>
      </w:r>
    </w:p>
    <w:p>
      <w:pPr>
        <w:pStyle w:val="Heading1"/>
      </w:pPr>
      <w:r>
        <w:t>五、投资含义：择边优先于套利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项目</w:t>
            </w:r>
          </w:p>
        </w:tc>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结论</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价格折溢价</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H股已不再是传统意义上的“便宜H股”；当前A股相对更便宜。</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股息率</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同股同权且分红相同，价格更低的一边静态股息率更高，因此当前A股在静态股息率上更占优。</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资金面</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H股仍可能受南向和外资偏好支撑，溢价未必很快回归。</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汇率</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港元兑人民币变化会影响折算价格，汇率波动可能扩大或压缩溢价。</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配置策略</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若长期看好招行，可将AH溢价作为择边依据：H股溢价较高时优先A股，H股折价较深时优先H股。</w:t>
            </w:r>
          </w:p>
        </w:tc>
      </w:tr>
    </w:tbl>
    <w:p>
      <w:pPr>
        <w:pStyle w:val="Heading1"/>
      </w:pPr>
      <w:r>
        <w:t>六、能否利用AH溢价规律通过融资套利？</w:t>
      </w:r>
    </w:p>
    <w:p>
      <w:r>
        <w:t>理论上可以构建“两条腿”的相对价值交易，但它不是无风险套利。真正的AH套利应同时买入低估一边、做空高估一边，而不是只融资买入低估一边。</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tblHeader w:val="true"/>
        </w:trPr>
        <w:tc>
          <w:tcPr>
            <w:tcW w:type="dxa" w:w="336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溢价情形</w:t>
            </w:r>
          </w:p>
        </w:tc>
        <w:tc>
          <w:tcPr>
            <w:tcW w:type="dxa" w:w="336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理论交易方向</w:t>
            </w:r>
          </w:p>
        </w:tc>
        <w:tc>
          <w:tcPr>
            <w:tcW w:type="dxa" w:w="336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实际含义</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A股明显贵，H股便宜</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做空A股，买入H股</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押注A股溢价收敛或H股补涨。</w:t>
            </w:r>
          </w:p>
        </w:tc>
      </w:tr>
      <w:tr>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H股明显贵，A股便宜</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做空H股，买入A股</w:t>
            </w:r>
          </w:p>
        </w:tc>
        <w:tc>
          <w:tcPr>
            <w:tcW w:type="dxa" w:w="3360"/>
            <w:vAlign w:val="center"/>
          </w:tcPr>
          <w:p>
            <w:pPr>
              <w:spacing w:after="0"/>
            </w:pPr>
            <w:r>
              <w:rPr>
                <w:rFonts w:ascii="Noto Sans CJK SC" w:hAnsi="Noto Sans CJK SC" w:eastAsia="Noto Sans CJK SC"/>
              </w:rPr>
            </w:r>
            <w:r>
              <w:rPr>
                <w:rFonts w:ascii="Noto Sans CJK SC" w:hAnsi="Noto Sans CJK SC" w:eastAsia="Noto Sans CJK SC"/>
                <w:b w:val="0"/>
              </w:rPr>
              <w:t>以招商银行当前状态为例，理论方向是买A、空H。</w:t>
            </w:r>
          </w:p>
        </w:tc>
      </w:tr>
    </w:tbl>
    <w:p>
      <w:r>
        <w:rPr>
          <w:b/>
        </w:rPr>
        <w:t>关键限制：</w:t>
      </w:r>
      <w:r>
        <w:t>A股和H股通常不能互相转换交割，因此价差缺少硬套利闭环；这与可转换证券或ETF申赎套利不同。</w:t>
      </w:r>
    </w:p>
    <w:p>
      <w:pPr>
        <w:pStyle w:val="ListBullet"/>
      </w:pPr>
      <w:r>
        <w:rPr>
          <w:b/>
        </w:rPr>
        <w:t>融资成本：</w:t>
      </w:r>
      <w:r>
        <w:t>融资利息会吃掉价差收敛收益，持仓越久成本越高。</w:t>
      </w:r>
    </w:p>
    <w:p>
      <w:pPr>
        <w:pStyle w:val="ListBullet"/>
      </w:pPr>
      <w:r>
        <w:rPr>
          <w:b/>
        </w:rPr>
        <w:t>融券/借券成本：</w:t>
      </w:r>
      <w:r>
        <w:t>高估一边必须能低成本卖空；若借券费率高或券源不稳定，策略可能失效。</w:t>
      </w:r>
    </w:p>
    <w:p>
      <w:pPr>
        <w:pStyle w:val="ListBullet"/>
      </w:pPr>
      <w:r>
        <w:rPr>
          <w:b/>
        </w:rPr>
        <w:t>强平与保证金风险：</w:t>
      </w:r>
      <w:r>
        <w:t>价差可能先扩大再收敛，杠杆仓位可能在正确之前被强制平仓。</w:t>
      </w:r>
    </w:p>
    <w:p>
      <w:pPr>
        <w:pStyle w:val="ListBullet"/>
      </w:pPr>
      <w:r>
        <w:rPr>
          <w:b/>
        </w:rPr>
        <w:t>汇率风险：</w:t>
      </w:r>
      <w:r>
        <w:t>H股以港元计价，人民币/港元折算变化会直接影响价差。</w:t>
      </w:r>
    </w:p>
    <w:p>
      <w:pPr>
        <w:pStyle w:val="ListBullet"/>
      </w:pPr>
      <w:r>
        <w:rPr>
          <w:b/>
        </w:rPr>
        <w:t>股息与除权处理：</w:t>
      </w:r>
      <w:r>
        <w:t>做空方需要承担股息补偿，分红季可能显著影响收益。</w:t>
      </w:r>
    </w:p>
    <w:p>
      <w:pPr>
        <w:pStyle w:val="ListBullet"/>
      </w:pPr>
      <w:r>
        <w:rPr>
          <w:b/>
        </w:rPr>
        <w:t>交易制度约束：</w:t>
      </w:r>
      <w:r>
        <w:t>港股卖空必须为担保卖空且仅限指定证券；沪股通亦禁止无担保卖空，并对合资格证券、价格和比例有限制。</w:t>
      </w:r>
    </w:p>
    <w:p>
      <w:pPr>
        <w:jc w:val="center"/>
      </w:pPr>
      <w:r>
        <w:rPr>
          <w:b/>
          <w:color w:val="C00000"/>
          <w:sz w:val="23"/>
        </w:rPr>
        <w:t>净收益 ≈ 价差收敛收益 - 融资利息 - 借券费 - 汇兑成本 - 税费滑点 - 股息补偿</w:t>
      </w:r>
    </w:p>
    <w:p>
      <w:pPr>
        <w:pStyle w:val="Heading1"/>
      </w:pPr>
      <w:r>
        <w:t>七、可执行交易框架</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tblHeader w:val="true"/>
        </w:trPr>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项目</w:t>
            </w:r>
          </w:p>
        </w:tc>
        <w:tc>
          <w:tcPr>
            <w:tcW w:type="dxa" w:w="5040"/>
            <w:shd w:fill="1F4E79"/>
            <w:vAlign w:val="center"/>
          </w:tcPr>
          <w:p>
            <w:pPr>
              <w:spacing w:after="0"/>
            </w:pPr>
            <w:r>
              <w:rPr>
                <w:rFonts w:ascii="Noto Sans CJK SC" w:hAnsi="Noto Sans CJK SC" w:eastAsia="Noto Sans CJK SC"/>
              </w:rPr>
            </w:r>
            <w:r>
              <w:rPr>
                <w:rFonts w:ascii="Noto Sans CJK SC" w:hAnsi="Noto Sans CJK SC" w:eastAsia="Noto Sans CJK SC"/>
                <w:b/>
                <w:color w:val="FFFFFF"/>
              </w:rPr>
              <w:t>结论</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普通投资者</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不建议把7%-10%左右的招行AH价差视为高确定性套利空间；更适合用于长期配置择边。</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有两地融资融券能力的专业投资者</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可在确认券源、费率、保证金、汇率和分红影响后，小仓位构建对冲交易。</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阈值建议</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只有当预期价差收敛空间显著高于全部融资融券和风险缓冲成本时才值得交易；通常需要更极端的价差才有安全边际。</w:t>
            </w:r>
          </w:p>
        </w:tc>
      </w:tr>
      <w:tr>
        <w:tc>
          <w:tcPr>
            <w:tcW w:type="dxa" w:w="2592"/>
            <w:vAlign w:val="center"/>
          </w:tcPr>
          <w:p>
            <w:pPr>
              <w:spacing w:after="0"/>
            </w:pPr>
            <w:r>
              <w:rPr>
                <w:rFonts w:ascii="Noto Sans CJK SC" w:hAnsi="Noto Sans CJK SC" w:eastAsia="Noto Sans CJK SC"/>
              </w:rPr>
            </w:r>
            <w:r>
              <w:rPr>
                <w:rFonts w:ascii="Noto Sans CJK SC" w:hAnsi="Noto Sans CJK SC" w:eastAsia="Noto Sans CJK SC"/>
                <w:b/>
              </w:rPr>
              <w:t>监控指标</w:t>
            </w:r>
          </w:p>
        </w:tc>
        <w:tc>
          <w:tcPr>
            <w:tcW w:type="dxa" w:w="6912"/>
            <w:vAlign w:val="center"/>
          </w:tcPr>
          <w:p>
            <w:pPr>
              <w:spacing w:after="0"/>
            </w:pPr>
            <w:r>
              <w:rPr>
                <w:rFonts w:ascii="Noto Sans CJK SC" w:hAnsi="Noto Sans CJK SC" w:eastAsia="Noto Sans CJK SC"/>
              </w:rPr>
            </w:r>
            <w:r>
              <w:rPr>
                <w:rFonts w:ascii="Noto Sans CJK SC" w:hAnsi="Noto Sans CJK SC" w:eastAsia="Noto Sans CJK SC"/>
                <w:b w:val="0"/>
              </w:rPr>
              <w:t>AH溢价率、南向资金、港元兑人民币汇率、分红时间、借券费率、融资利率、H股成交量和可卖空名单。</w:t>
            </w:r>
          </w:p>
        </w:tc>
      </w:tr>
    </w:tbl>
    <w:p>
      <w:pPr>
        <w:pStyle w:val="Heading1"/>
      </w:pPr>
      <w:r>
        <w:t>八、最终判断</w:t>
      </w:r>
    </w:p>
    <w:p>
      <w:r>
        <w:rPr>
          <w:b/>
        </w:rPr>
        <w:t>结论：</w:t>
      </w:r>
      <w:r>
        <w:t>招商银行近十年的AH溢价规律已经发生结构性变化：从过去的“A股溢价常态”逐步转向“价差收敛”，并在2025-2026年出现H股反超A股。当前阶段，A股相对更便宜；但利用融资进行价差套利并不等于无风险套利，除非能够稳定、低成本地同时做空高估一边，并承受汇率、股息、保证金和制度约束。</w:t>
      </w:r>
    </w:p>
    <w:p>
      <w:r>
        <w:rPr>
          <w:b/>
        </w:rPr>
        <w:t>操作建议：</w:t>
      </w:r>
      <w:r>
        <w:t>将AH溢价作为择边工具优先于杠杆套利工具。对中长期投资者，H股溢价扩大时更偏向A股；H股重新出现明显折价时，再重新评估H股配置价值。</w:t>
      </w:r>
    </w:p>
    <w:p>
      <w:pPr>
        <w:sectPr>
          <w:footerReference w:type="default" r:id="rId14"/>
          <w:pgSz w:w="12240" w:h="15840"/>
          <w:pgMar w:top="1008" w:right="1080" w:bottom="1008" w:left="1080" w:header="720" w:footer="720" w:gutter="0"/>
          <w:cols w:space="720"/>
          <w:docGrid w:linePitch="360"/>
        </w:sectPr>
      </w:pPr>
    </w:p>
    <w:p>
      <w:pPr>
        <w:pStyle w:val="Heading1"/>
      </w:pPr>
      <w:r>
        <w:t>资料来源与说明</w:t>
      </w:r>
    </w:p>
    <w:p>
      <w:r>
        <w:t>本报告根据前两次问答内容整理，并补充核对以下公开来源。报告不是投资建议，不构成买卖证券或使用融资融券的建议。</w:t>
      </w:r>
    </w:p>
    <w:p>
      <w:pPr>
        <w:pStyle w:val="ListBullet"/>
      </w:pPr>
      <w:r>
        <w:t>AASTOCKS A+H页面：H股对A股溢价定义与AH列表：</w:t>
      </w:r>
      <w:hyperlink r:id="rId9">
        <w:r>
          <w:rPr>
            <w:color w:val="0563C1"/>
            <w:u w:val="single"/>
          </w:rPr>
          <w:t>https://www.aastocks.com/tc/stocks/market/ah.aspx</w:t>
        </w:r>
      </w:hyperlink>
    </w:p>
    <w:p>
      <w:pPr>
        <w:pStyle w:val="ListBullet"/>
      </w:pPr>
      <w:r>
        <w:t>新浪财经/看懂经济：招商银行H股开始比A股更贵了，2026年4月14日：</w:t>
      </w:r>
      <w:hyperlink r:id="rId10">
        <w:r>
          <w:rPr>
            <w:color w:val="0563C1"/>
            <w:u w:val="single"/>
          </w:rPr>
          <w:t>https://finance.sina.com.cn/cj/2026-04-14/doc-inhunicx9082799.shtml</w:t>
        </w:r>
      </w:hyperlink>
    </w:p>
    <w:p>
      <w:pPr>
        <w:pStyle w:val="ListBullet"/>
      </w:pPr>
      <w:r>
        <w:t>Investing.com：招商银行600036历史行情，含2026年5月6日A股收盘数据：</w:t>
      </w:r>
      <w:hyperlink r:id="rId11">
        <w:r>
          <w:rPr>
            <w:color w:val="0563C1"/>
            <w:u w:val="single"/>
          </w:rPr>
          <w:t>https://cn.investing.com/equities/merchants-bank-historical-data</w:t>
        </w:r>
      </w:hyperlink>
    </w:p>
    <w:p>
      <w:pPr>
        <w:pStyle w:val="ListBullet"/>
      </w:pPr>
      <w:r>
        <w:t>香港交易所：受监管的卖空活动要求：</w:t>
      </w:r>
      <w:hyperlink r:id="rId12">
        <w:r>
          <w:rPr>
            <w:color w:val="0563C1"/>
            <w:u w:val="single"/>
          </w:rPr>
          <w:t>https://www.hkex.com.hk/Services/Trading/Securities/Overview/Regulated-Short-Selling?sc_lang=zh-HK</w:t>
        </w:r>
      </w:hyperlink>
    </w:p>
    <w:p>
      <w:pPr>
        <w:pStyle w:val="ListBullet"/>
      </w:pPr>
      <w:r>
        <w:t>香港交易所沪港通投资者常见问题：沪股通禁止无担保卖空及担保卖空要求：</w:t>
      </w:r>
      <w:hyperlink r:id="rId13">
        <w:r>
          <w:rPr>
            <w:color w:val="0563C1"/>
            <w:u w:val="single"/>
          </w:rPr>
          <w:t>https://www.hkex.com.hk/chi/market/sec_tradinfra/chinaconnect/documents/investor_faq_cn.pdf</w:t>
        </w:r>
      </w:hyperlink>
    </w:p>
    <w:p>
      <w:r>
        <w:rPr>
          <w:b/>
        </w:rPr>
        <w:t>数据限制说明：</w:t>
      </w:r>
      <w:r>
        <w:t>本报告为前述分析的汇总报告，未逐日下载并重建招商银行近十年完整AH溢价时间序列；若用于正式投资决策，应进一步用Wind、Bloomberg、Choice、同花顺iFinD或交易所日频行情重新计算全样本数据。</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88888"/>
        <w:sz w:val="16"/>
      </w:rPr>
      <w:t>招商银行A/H股溢价与融资套利可行性分析报告</w:t>
    </w:r>
    <w:r>
      <w:rPr>
        <w:rFonts w:ascii="Noto Sans CJK SC" w:hAnsi="Noto Sans CJK SC" w:eastAsia="Noto Sans CJK SC"/>
        <w:color w:val="888888"/>
        <w:sz w:val="16"/>
      </w:rPr>
      <w:t>招商银行A/H股溢价与融资套利可行性分析报告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stocks.com/tc/stocks/market/ah.aspx" TargetMode="External"/><Relationship Id="rId10" Type="http://schemas.openxmlformats.org/officeDocument/2006/relationships/hyperlink" Target="https://finance.sina.com.cn/cj/2026-04-14/doc-inhunicx9082799.shtml" TargetMode="External"/><Relationship Id="rId11" Type="http://schemas.openxmlformats.org/officeDocument/2006/relationships/hyperlink" Target="https://cn.investing.com/equities/merchants-bank-historical-data" TargetMode="External"/><Relationship Id="rId12" Type="http://schemas.openxmlformats.org/officeDocument/2006/relationships/hyperlink" Target="https://www.hkex.com.hk/Services/Trading/Securities/Overview/Regulated-Short-Selling?sc_lang=zh-HK" TargetMode="External"/><Relationship Id="rId13" Type="http://schemas.openxmlformats.org/officeDocument/2006/relationships/hyperlink" Target="https://www.hkex.com.hk/chi/market/sec_tradinfra/chinaconnect/documents/investor_faq_cn.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