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宁德时代（300750）深度价值投资分析报告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动力电池龙头 / 储能增长 / 成长估值再评估</w:t>
      </w:r>
    </w:p>
    <w:p>
      <w:pPr>
        <w:spacing w:before="80" w:after="120"/>
        <w:ind w:left="216" w:right="216"/>
      </w:pPr>
      <w:r>
        <w:rPr>
          <w:rFonts w:ascii="Noto Sans CJK SC" w:hAnsi="Noto Sans CJK SC" w:eastAsia="Noto Sans CJK SC"/>
          <w:i/>
          <w:color w:val="5A5A5A"/>
          <w:sz w:val="18"/>
        </w:rPr>
        <w:t>说明：本报告基于截至2026年5月初公开资料与估算模型整理。估值模型对假设极为敏感，结论仅用于研究讨论，不构成任何买卖建议。</w:t>
      </w:r>
    </w:p>
    <w:p>
      <w:pPr>
        <w:pStyle w:val="Heading1"/>
      </w:pPr>
      <w:r>
        <w:t>一、核心结论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宁德时代不是传统低估值价值股，而是“全球动力电池龙头 + 高ROE制造业成长股 + 新能源产业链核心资产”。价值投资的关键不是判断公司是否优秀，而是判断买入价格是否已经充分透支成长。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优势：全球动力电池市占率领先，技术、规模、客户、现金流形成复合护城河。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增长点：储能电池、海外客户、材料回收、零碳与换电/补能生态。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风险：电池价格下行、整车厂议价能力增强、二线电池厂追赶、海外贸易壁垒和技术路线变化。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结论：好公司，但价值投资者应等待估值回落至更有安全边际的位置。</w:t>
      </w:r>
    </w:p>
    <w:p>
      <w:pPr>
        <w:pStyle w:val="Heading1"/>
      </w:pPr>
      <w:r>
        <w:t>二、近年财务情况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2023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2024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2025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价值投资解读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营业收入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4009.17亿元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3620.13亿元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4237.02亿元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2024调整后，2025恢复增长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归母净利润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507.45亿元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约507亿元以上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722.01亿元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盈利能力显著改善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经营现金流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928.26亿元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969.90亿元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1332.20亿元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现金流远强于净利润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约21%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约20.7%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高资本回报维持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资产负债率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69.34%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约65%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61.94%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扩张后杠杆趋于改善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sz w:val="20"/>
        </w:rPr>
        <w:t>2025年公司营收4237.02亿元，同比增长17.04%；归母净利润722.01亿元，同比增长42.28%；经营现金流净额1332.20亿元。该组合说明：虽然动力电池行业价格竞争加剧，但龙头公司的规模效应、费用控制和客户结构仍能支撑利润释放。</w:t>
      </w:r>
    </w:p>
    <w:p>
      <w:r>
        <w:br w:type="page"/>
      </w:r>
    </w:p>
    <w:p>
      <w:pPr>
        <w:pStyle w:val="Heading1"/>
      </w:pPr>
      <w:r>
        <w:t>三、企业经营情况</w:t>
      </w:r>
    </w:p>
    <w:p>
      <w:pPr>
        <w:pStyle w:val="Heading2"/>
      </w:pPr>
      <w:r>
        <w:t>1. 动力电池仍是主业核心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2025年动力电池系统收入约3165.1亿元，占总收入约74.7%，仍是公司利润和估值的核心来源。行业需求由新能源汽车销量、单车带电量、海外渗透率和技术升级共同驱动。</w:t>
      </w:r>
    </w:p>
    <w:p>
      <w:pPr>
        <w:pStyle w:val="Heading2"/>
      </w:pPr>
      <w:r>
        <w:t>2. 储能业务是第二增长曲线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储能需求受电网消纳、海外电力结构转型、数据中心用电增长等因素推动。相比动力电池，储能客户结构更偏项目制，竞争格局和盈利稳定性仍需观察，但长期空间较大。</w:t>
      </w:r>
    </w:p>
    <w:p>
      <w:pPr>
        <w:pStyle w:val="Heading2"/>
      </w:pPr>
      <w:r>
        <w:t>3. 经营质量评估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评价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技术研发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研发投入高，产品迭代速度快，麒麟电池、神行电池等体现产品定义能力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客户资源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覆盖国内外主流车企，但客户也具备较强议价能力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规模效应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出货领先带来采购、制造和研发摊薄优势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现金流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极强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经营现金流持续高于净利润，是核心质量指标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周期性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受新能源车销量、价格战和原材料周期影响</w:t>
            </w:r>
          </w:p>
        </w:tc>
      </w:tr>
    </w:tbl>
    <w:p/>
    <w:p>
      <w:pPr>
        <w:pStyle w:val="Heading1"/>
      </w:pPr>
      <w:r>
        <w:t>四、行业地位与护城河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护城河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强度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规模优势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全球动力电池出货领先，扩产和供应链能力强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技术能力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电芯、系统集成、材料体系和制造工艺领先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客户绑定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与主流车企深度合作，认证周期形成进入壁垒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现金流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现金流支撑研发、扩产和海外布局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议价能力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龙头具备优势，但整车厂同样强势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技术替代风险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★★★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钠电、固态电池等新路线需持续跟踪</w:t>
            </w:r>
          </w:p>
        </w:tc>
      </w:tr>
    </w:tbl>
    <w:p/>
    <w:p>
      <w:pPr>
        <w:pStyle w:val="Heading1"/>
      </w:pPr>
      <w:r>
        <w:t>五、市场声音与股价估值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市场对宁德时代的主流分歧是：一方面认可其全球龙头地位和现金流质量，另一方面担心动力电池价格持续下降、整车厂自研电池和海外政策风险。2026年4月末第三方估值平台显示，宁德时代股价约436元，市盈率约25.54倍，处于近年偏高分位，已经不是明显低估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市场观点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主要逻辑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看多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全球动力电池龙头、储能增长、海外客户、高ROE、高现金流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看空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估值不低、价格周期下行、技术路线变化、海外贸易壁垒、客户议价增强</w:t>
            </w:r>
          </w:p>
        </w:tc>
      </w:tr>
    </w:tbl>
    <w:p/>
    <w:p>
      <w:pPr>
        <w:pStyle w:val="Heading1"/>
      </w:pPr>
      <w:r>
        <w:t>六、买入区间：历史估值回归模型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以2025年归母净利润722亿元、估算EPS约15.8元为基准，结合成长制造龙头估值区间，给出估值回归买入区间。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PE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对应股价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估值状态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策略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约237元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深度价值区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强吸引力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约285元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合理低估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可积极配置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约348元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合理区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分批买入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约395元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合理偏贵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谨慎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约474元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成长预期充分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不追高</w:t>
            </w:r>
          </w:p>
        </w:tc>
      </w:tr>
    </w:tbl>
    <w:p/>
    <w:p>
      <w:pPr>
        <w:spacing w:before="80" w:after="120"/>
        <w:ind w:left="216" w:right="216"/>
      </w:pPr>
      <w:r>
        <w:rPr>
          <w:rFonts w:ascii="Noto Sans CJK SC" w:hAnsi="Noto Sans CJK SC" w:eastAsia="Noto Sans CJK SC"/>
          <w:i/>
          <w:color w:val="5A5A5A"/>
          <w:sz w:val="18"/>
        </w:rPr>
        <w:t>判断：若股价在430元以上，按静态利润看已处于合理偏贵区；若回落至285-350元区间，价值投资安全边际明显提高。</w:t>
      </w:r>
    </w:p>
    <w:p>
      <w:r>
        <w:br w:type="page"/>
      </w:r>
    </w:p>
    <w:p>
      <w:pPr>
        <w:pStyle w:val="Heading1"/>
      </w:pPr>
      <w:r>
        <w:t>七、DCF估值模型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情景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初始利润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前5年增长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第6-10年增长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永续增长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折现率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股权价值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每股价值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722亿元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约12944亿元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约284元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722亿元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2.5%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9.5%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约18790亿元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约412元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乐观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722亿元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约27143亿元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约595元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sz w:val="20"/>
        </w:rPr>
        <w:t>DCF结论：当前价格大致接近中性估值略偏上，距离保守安全边际较远。对于成长股，DCF最重要的不是单点估值，而是检查当前价格隐含了多高的增长预期。</w:t>
      </w:r>
    </w:p>
    <w:p>
      <w:pPr>
        <w:pStyle w:val="Heading1"/>
      </w:pPr>
      <w:r>
        <w:t>八、长期回报测算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情景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利润增长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10年后PE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预期年化回报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主要收益来源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约4%-6%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利润增长被估值回落部分抵消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约8%-10%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利润增长为主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乐观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25倍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约12%+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利润增长+估值维持</w:t>
            </w:r>
          </w:p>
        </w:tc>
      </w:tr>
    </w:tbl>
    <w:p/>
    <w:p>
      <w:pPr>
        <w:pStyle w:val="Heading1"/>
      </w:pPr>
      <w:r>
        <w:t>九、最终投资结论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宁德时代是一家优质成长制造龙头，不是低估值红利股。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适合长期看好新能源电池和储能产业链的投资者，但不适合无视估值追高。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舒适买入区间：285-350元；合理持有区间：350-410元；430元以上需要较强增长兑现。</w:t>
      </w:r>
    </w:p>
    <w:p>
      <w:pPr>
        <w:pStyle w:val="Heading1"/>
      </w:pPr>
      <w:r>
        <w:t>附录：主要参考资料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新浪财经：宁德时代2025年年报相关数据，营收4237.02亿元、归母净利润722.01亿元、动力电池系统收入等。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中国货币网/公开披露资料：宁德时代经营现金流、资产负债率等财务数据。</w:t>
      </w:r>
    </w:p>
    <w:p>
      <w:pPr>
        <w:pStyle w:val="ListBullet"/>
      </w:pPr>
      <w:r>
        <w:rPr>
          <w:rFonts w:ascii="Noto Sans CJK SC" w:hAnsi="Noto Sans CJK SC" w:eastAsia="Noto Sans CJK SC"/>
          <w:color w:val="505050"/>
          <w:sz w:val="16"/>
        </w:rPr>
        <w:t>理杏仁：宁德时代估值分位、股价、市盈率等市场估值数据。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仅供投资研究参考，不构成投资建议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