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寒武纪（688256）深度价值投资分析报告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国产AI芯片 / 高成长高估值 / 安全边际评估</w:t>
      </w:r>
    </w:p>
    <w:p>
      <w:pPr>
        <w:spacing w:before="80" w:after="120"/>
        <w:ind w:left="216" w:right="216"/>
      </w:pPr>
      <w:r>
        <w:rPr>
          <w:rFonts w:ascii="Noto Sans CJK SC" w:hAnsi="Noto Sans CJK SC" w:eastAsia="Noto Sans CJK SC"/>
          <w:i/>
          <w:color w:val="5A5A5A"/>
          <w:sz w:val="18"/>
        </w:rPr>
        <w:t>说明：本报告基于截至2026年5月初公开资料与估算模型整理。估值模型对假设极为敏感，结论仅用于研究讨论，不构成任何买卖建议。</w:t>
      </w:r>
    </w:p>
    <w:p>
      <w:pPr>
        <w:pStyle w:val="Heading1"/>
      </w:pPr>
      <w:r>
        <w:t>一、核心结论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寒武纪与传统价值股完全不同。它是“国产AI算力核心标的 + 高成长高估值科技股 + 强预期资产”。投资逻辑在产业趋势，风险在估值和业绩兑现。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优势：国产AI芯片稀缺标的，受益于大模型算力需求和国产替代。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风险：估值极高，未来利润需要高速增长多年才能支撑当前市值。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结论：更适合产业成长投资，不适合传统价值投资者重仓追高。</w:t>
      </w:r>
    </w:p>
    <w:p>
      <w:pPr>
        <w:pStyle w:val="Heading1"/>
      </w:pPr>
      <w:r>
        <w:t>二、近年财务情况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2024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2025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2026Q1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价值投资解读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营业收入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约11.75亿元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64.97亿元，同比增长453.20%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约28.85亿元，同比增长159.56%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收入爆发，但基数仍较小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归母净利润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亏损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20.59亿元，同比增长555.24%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约10.13亿元，同比增长185.04%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刚进入盈利放量期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扣非净利润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亏损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17.70亿元，同比增长304.63%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主营盈利快速转正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综合毛利率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约56%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55.15%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毛利率较高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无/较少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每10股派15元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分红不是主逻辑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20"/>
        </w:rPr>
        <w:t>2025年公司首次实现大规模盈利，是估值逻辑的重要转折。但由于当前市值已经包含很高的未来增长预期，投资风险不在“是否有产业趋势”，而在“增长速度是否足以覆盖估值”。</w:t>
      </w:r>
    </w:p>
    <w:p>
      <w:pPr>
        <w:pStyle w:val="Heading1"/>
      </w:pPr>
      <w:r>
        <w:t>三、企业经营情况</w:t>
      </w:r>
    </w:p>
    <w:p>
      <w:pPr>
        <w:pStyle w:val="Heading2"/>
      </w:pPr>
      <w:r>
        <w:t>1. 云端AI芯片成为绝对主力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2025年云端产品线贡献收入占比超过99%，说明公司当前增长高度依赖云端AI芯片放量。云端芯片销量大幅增长，是业绩爆发的主要来源。</w:t>
      </w:r>
    </w:p>
    <w:p>
      <w:pPr>
        <w:pStyle w:val="Heading2"/>
      </w:pPr>
      <w:r>
        <w:t>2. 产业需求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需求来自大模型训练和推理、国产算力替代、运营商和云厂商采购、金融政企AI部署等。国产AI芯片的中长期需求确定性较强，但订单节奏和客户集中度仍需跟踪。</w:t>
      </w:r>
    </w:p>
    <w:p>
      <w:pPr>
        <w:pStyle w:val="Heading2"/>
      </w:pPr>
      <w:r>
        <w:t>3. 核心风险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客户集中度高，订单可持续性仍需验证。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芯片供应链受先进制程、封装和产能制约。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软件生态与国际GPU仍存在差距。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技术迭代快，产品竞争力需要持续证明。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估值极高，任何业绩低于预期都可能导致大幅波动。</w:t>
      </w:r>
    </w:p>
    <w:p>
      <w:pPr>
        <w:pStyle w:val="Heading1"/>
      </w:pPr>
      <w:r>
        <w:t>四、行业地位与护城河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护城河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强度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稀缺性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A股国产AI芯片核心标的，市场关注度极高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国产替代逻辑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政策与产业趋势明确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技术壁垒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AI芯片设计门槛高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软件生态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生态仍需追赶国际GPU体系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盈利稳定性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刚盈利，收入和利润波动可能较大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估值安全边际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当前价格对未来增长要求极高</w:t>
            </w:r>
          </w:p>
        </w:tc>
      </w:tr>
    </w:tbl>
    <w:p/>
    <w:p>
      <w:pPr>
        <w:pStyle w:val="Heading1"/>
      </w:pPr>
      <w:r>
        <w:t>五、市场声音与估值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市场对寒武纪的分歧极端：看多者认为其是国产AI算力核心资产，具有稀缺性和高成长；看空者认为市值已经提前反映多年高速增长，估值容错率极低。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市场观点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主要逻辑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看多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国产AI芯片核心资产、AI算力爆发、2025盈利大幅转正、2026Q1延续高增长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看空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PE极高、市值提前反映远期利润、供应链与生态风险、订单持续性待验证</w:t>
            </w:r>
          </w:p>
        </w:tc>
      </w:tr>
    </w:tbl>
    <w:p/>
    <w:p>
      <w:pPr>
        <w:pStyle w:val="Heading1"/>
      </w:pPr>
      <w:r>
        <w:t>六、买入区间：未来利润反推模型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寒武纪不适合用传统历史PE回归，因为公司刚进入盈利阶段。更合理的方法是用未来稳定净利润反推合理市值。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未来稳定净利润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合理PE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合理市值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对应股价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50倍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1500亿元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约356元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初步盈利平台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50倍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2500亿元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约593元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成长兑现一部分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45倍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3600亿元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约854元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较强成长兑现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45倍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4500亿元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约1067元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成为国产AI芯片重要平台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150亿元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40倍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6000亿元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约1423元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龙头平台化成功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股价区间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判断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400元以下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若成长兑现，具备较强吸引力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400-800元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成长投资合理区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800-1200元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需要高增长持续验证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1200元以上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高预期区，风险明显上升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1500元以上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情绪和远期梦想定价</w:t>
            </w:r>
          </w:p>
        </w:tc>
      </w:tr>
    </w:tbl>
    <w:p/>
    <w:p>
      <w:pPr>
        <w:pStyle w:val="Heading1"/>
      </w:pPr>
      <w:r>
        <w:t>七、DCF估值模型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情景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初始利润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前5年增长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第6-10年增长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永续增长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折现率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股权价值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每股价值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20.6亿元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约704亿元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约167元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20.6亿元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约1754亿元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约416元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20.6亿元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55%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约4571亿元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约1084元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20"/>
        </w:rPr>
        <w:t>DCF结论：即便乐观情景下，估值也很难自然支撑极高股价，除非未来利润增长远超乐观假设，或市场长期给予极高AI稀缺性溢价。</w:t>
      </w:r>
    </w:p>
    <w:p>
      <w:pPr>
        <w:pStyle w:val="Heading1"/>
      </w:pPr>
      <w:r>
        <w:t>八、长期回报测算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情景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未来10年利润增长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10年后PE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长期回报判断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高速增长后快速回落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40倍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高价买入可能收益较低甚至为负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持续高增长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45倍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取决于买入价格和利润兑现速度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成为国产AI芯片平台龙头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50倍+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才可能支撑高收益</w:t>
            </w:r>
          </w:p>
        </w:tc>
      </w:tr>
    </w:tbl>
    <w:p/>
    <w:p>
      <w:pPr>
        <w:pStyle w:val="Heading1"/>
      </w:pPr>
      <w:r>
        <w:t>九、最终投资结论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寒武纪是强产业趋势标的，但不是传统价值投资标的。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若按安全边际原则，应等待股价回到未来利润能够合理解释的区间。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适合高风险偏好、理解AI芯片周期和半导体供应链的人；不适合作为稳健组合核心仓位。</w:t>
      </w:r>
    </w:p>
    <w:p>
      <w:pPr>
        <w:pStyle w:val="Heading1"/>
      </w:pPr>
      <w:r>
        <w:t>附录：主要参考资料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东方财富PDF/公司年报：寒武纪2025年营收64.97亿元、归母净利润20.59亿元、综合毛利率等数据。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巨潮资讯：寒武纪2025年利润分配方案，每10股派15元。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新浪财经/公开新闻：寒武纪2026年一季度营收和净利润增长数据。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腾讯新闻/公开报道：寒武纪云端产品线收入占比和芯片销量信息。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亿牛网/新浪财经：寒武纪市场估值、市值和PE相关数据。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仅供投资研究参考，不构成投资建议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