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1F4E79"/>
          <w:sz w:val="44"/>
        </w:rPr>
        <w:t>比亚迪（002594）深度价值投资分析报告</w:t>
      </w:r>
    </w:p>
    <w:p>
      <w:pPr>
        <w:jc w:val="center"/>
      </w:pPr>
      <w:r>
        <w:rPr>
          <w:rFonts w:ascii="Noto Sans CJK SC" w:hAnsi="Noto Sans CJK SC" w:eastAsia="Noto Sans CJK SC"/>
          <w:color w:val="5A5A5A"/>
          <w:sz w:val="22"/>
        </w:rPr>
        <w:t>新能源汽车龙头 / 垂直一体化 / 价格战下的利润弹性评估</w:t>
      </w:r>
    </w:p>
    <w:p>
      <w:pPr>
        <w:spacing w:before="80" w:after="120"/>
        <w:ind w:left="216" w:right="216"/>
      </w:pPr>
      <w:r>
        <w:rPr>
          <w:rFonts w:ascii="Noto Sans CJK SC" w:hAnsi="Noto Sans CJK SC" w:eastAsia="Noto Sans CJK SC"/>
          <w:i/>
          <w:color w:val="5A5A5A"/>
          <w:sz w:val="18"/>
        </w:rPr>
        <w:t>说明：本报告基于截至2026年5月初公开资料与估算模型整理。估值模型对假设极为敏感，结论仅用于研究讨论，不构成任何买卖建议。</w:t>
      </w:r>
    </w:p>
    <w:p>
      <w:pPr>
        <w:pStyle w:val="Heading1"/>
      </w:pPr>
      <w:r>
        <w:t>一、核心结论</w:t>
      </w:r>
    </w:p>
    <w:p>
      <w:pPr>
        <w:spacing w:after="100"/>
      </w:pPr>
      <w:r>
        <w:rPr>
          <w:rFonts w:ascii="Noto Sans CJK SC" w:hAnsi="Noto Sans CJK SC" w:eastAsia="Noto Sans CJK SC"/>
          <w:sz w:val="20"/>
        </w:rPr>
        <w:t>比亚迪是“新能源汽车全球龙头 + 垂直一体化制造平台 + 高波动成长股”。与宁德时代相比，比亚迪更接近整车制造企业，收入规模巨大，但利润率受价格战、车型结构和行业周期影响更明显。</w:t>
      </w:r>
    </w:p>
    <w:p>
      <w:pPr>
        <w:pStyle w:val="ListBullet"/>
        <w:spacing w:after="40"/>
      </w:pPr>
      <w:r>
        <w:rPr>
          <w:rFonts w:ascii="Noto Sans CJK SC" w:hAnsi="Noto Sans CJK SC" w:eastAsia="Noto Sans CJK SC"/>
          <w:sz w:val="20"/>
        </w:rPr>
        <w:t>优势：电池、电机、电控、芯片、整车一体化，成本控制和产品矩阵强。</w:t>
      </w:r>
    </w:p>
    <w:p>
      <w:pPr>
        <w:pStyle w:val="ListBullet"/>
        <w:spacing w:after="40"/>
      </w:pPr>
      <w:r>
        <w:rPr>
          <w:rFonts w:ascii="Noto Sans CJK SC" w:hAnsi="Noto Sans CJK SC" w:eastAsia="Noto Sans CJK SC"/>
          <w:sz w:val="20"/>
        </w:rPr>
        <w:t>风险：整车行业竞争激烈，价格战会直接压缩净利率和ROE。</w:t>
      </w:r>
    </w:p>
    <w:p>
      <w:pPr>
        <w:pStyle w:val="ListBullet"/>
        <w:spacing w:after="40"/>
      </w:pPr>
      <w:r>
        <w:rPr>
          <w:rFonts w:ascii="Noto Sans CJK SC" w:hAnsi="Noto Sans CJK SC" w:eastAsia="Noto Sans CJK SC"/>
          <w:sz w:val="20"/>
        </w:rPr>
        <w:t>价值投资核心：公司很强，但需要等利润率企稳或估值充分回落。</w:t>
      </w:r>
    </w:p>
    <w:p>
      <w:pPr>
        <w:pStyle w:val="Heading1"/>
      </w:pPr>
      <w:r>
        <w:t>二、近年财务情况</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728"/>
            <w:vAlign w:val="center"/>
            <w:shd w:fill="D9EAF7"/>
          </w:tcPr>
          <w:p>
            <w:r/>
            <w:r>
              <w:rPr>
                <w:rFonts w:ascii="Noto Sans CJK SC" w:hAnsi="Noto Sans CJK SC" w:eastAsia="Noto Sans CJK SC"/>
                <w:b/>
                <w:sz w:val="17"/>
              </w:rPr>
              <w:t>指标</w:t>
            </w:r>
          </w:p>
        </w:tc>
        <w:tc>
          <w:tcPr>
            <w:tcW w:type="dxa" w:w="2016"/>
            <w:vAlign w:val="center"/>
            <w:shd w:fill="D9EAF7"/>
          </w:tcPr>
          <w:p>
            <w:r/>
            <w:r>
              <w:rPr>
                <w:rFonts w:ascii="Noto Sans CJK SC" w:hAnsi="Noto Sans CJK SC" w:eastAsia="Noto Sans CJK SC"/>
                <w:b/>
                <w:sz w:val="17"/>
              </w:rPr>
              <w:t>2023/2024趋势</w:t>
            </w:r>
          </w:p>
        </w:tc>
        <w:tc>
          <w:tcPr>
            <w:tcW w:type="dxa" w:w="2592"/>
            <w:vAlign w:val="center"/>
            <w:shd w:fill="D9EAF7"/>
          </w:tcPr>
          <w:p>
            <w:r/>
            <w:r>
              <w:rPr>
                <w:rFonts w:ascii="Noto Sans CJK SC" w:hAnsi="Noto Sans CJK SC" w:eastAsia="Noto Sans CJK SC"/>
                <w:b/>
                <w:sz w:val="17"/>
              </w:rPr>
              <w:t>2025</w:t>
            </w:r>
          </w:p>
        </w:tc>
        <w:tc>
          <w:tcPr>
            <w:tcW w:type="dxa" w:w="3456"/>
            <w:vAlign w:val="center"/>
            <w:shd w:fill="D9EAF7"/>
          </w:tcPr>
          <w:p>
            <w:r/>
            <w:r>
              <w:rPr>
                <w:rFonts w:ascii="Noto Sans CJK SC" w:hAnsi="Noto Sans CJK SC" w:eastAsia="Noto Sans CJK SC"/>
                <w:b/>
                <w:sz w:val="17"/>
              </w:rPr>
              <w:t>价值投资解读</w:t>
            </w:r>
          </w:p>
        </w:tc>
      </w:tr>
      <w:tr>
        <w:tc>
          <w:tcPr>
            <w:tcW w:type="dxa" w:w="1728"/>
            <w:vAlign w:val="center"/>
          </w:tcPr>
          <w:p>
            <w:r/>
            <w:r>
              <w:rPr>
                <w:rFonts w:ascii="Noto Sans CJK SC" w:hAnsi="Noto Sans CJK SC" w:eastAsia="Noto Sans CJK SC"/>
                <w:b w:val="0"/>
                <w:sz w:val="17"/>
              </w:rPr>
              <w:t>营业收入</w:t>
            </w:r>
          </w:p>
        </w:tc>
        <w:tc>
          <w:tcPr>
            <w:tcW w:type="dxa" w:w="2016"/>
            <w:vAlign w:val="center"/>
          </w:tcPr>
          <w:p>
            <w:r/>
            <w:r>
              <w:rPr>
                <w:rFonts w:ascii="Noto Sans CJK SC" w:hAnsi="Noto Sans CJK SC" w:eastAsia="Noto Sans CJK SC"/>
                <w:b w:val="0"/>
                <w:sz w:val="17"/>
              </w:rPr>
              <w:t>高位增长</w:t>
            </w:r>
          </w:p>
        </w:tc>
        <w:tc>
          <w:tcPr>
            <w:tcW w:type="dxa" w:w="2592"/>
            <w:vAlign w:val="center"/>
          </w:tcPr>
          <w:p>
            <w:r/>
            <w:r>
              <w:rPr>
                <w:rFonts w:ascii="Noto Sans CJK SC" w:hAnsi="Noto Sans CJK SC" w:eastAsia="Noto Sans CJK SC"/>
                <w:b w:val="0"/>
                <w:sz w:val="17"/>
              </w:rPr>
              <w:t>8039.65亿元，同比增长3.46%</w:t>
            </w:r>
          </w:p>
        </w:tc>
        <w:tc>
          <w:tcPr>
            <w:tcW w:type="dxa" w:w="3456"/>
            <w:vAlign w:val="center"/>
          </w:tcPr>
          <w:p>
            <w:r/>
            <w:r>
              <w:rPr>
                <w:rFonts w:ascii="Noto Sans CJK SC" w:hAnsi="Noto Sans CJK SC" w:eastAsia="Noto Sans CJK SC"/>
                <w:b w:val="0"/>
                <w:sz w:val="17"/>
              </w:rPr>
              <w:t>规模优势突出但增速放缓</w:t>
            </w:r>
          </w:p>
        </w:tc>
      </w:tr>
      <w:tr>
        <w:tc>
          <w:tcPr>
            <w:tcW w:type="dxa" w:w="1728"/>
            <w:vAlign w:val="center"/>
          </w:tcPr>
          <w:p>
            <w:r/>
            <w:r>
              <w:rPr>
                <w:rFonts w:ascii="Noto Sans CJK SC" w:hAnsi="Noto Sans CJK SC" w:eastAsia="Noto Sans CJK SC"/>
                <w:b w:val="0"/>
                <w:sz w:val="17"/>
              </w:rPr>
              <w:t>归母净利润</w:t>
            </w:r>
          </w:p>
        </w:tc>
        <w:tc>
          <w:tcPr>
            <w:tcW w:type="dxa" w:w="2016"/>
            <w:vAlign w:val="center"/>
          </w:tcPr>
          <w:p>
            <w:r/>
            <w:r>
              <w:rPr>
                <w:rFonts w:ascii="Noto Sans CJK SC" w:hAnsi="Noto Sans CJK SC" w:eastAsia="Noto Sans CJK SC"/>
                <w:b w:val="0"/>
                <w:sz w:val="17"/>
              </w:rPr>
              <w:t>高位</w:t>
            </w:r>
          </w:p>
        </w:tc>
        <w:tc>
          <w:tcPr>
            <w:tcW w:type="dxa" w:w="2592"/>
            <w:vAlign w:val="center"/>
          </w:tcPr>
          <w:p>
            <w:r/>
            <w:r>
              <w:rPr>
                <w:rFonts w:ascii="Noto Sans CJK SC" w:hAnsi="Noto Sans CJK SC" w:eastAsia="Noto Sans CJK SC"/>
                <w:b w:val="0"/>
                <w:sz w:val="17"/>
              </w:rPr>
              <w:t>326.19亿元，同比下降18.97%</w:t>
            </w:r>
          </w:p>
        </w:tc>
        <w:tc>
          <w:tcPr>
            <w:tcW w:type="dxa" w:w="3456"/>
            <w:vAlign w:val="center"/>
          </w:tcPr>
          <w:p>
            <w:r/>
            <w:r>
              <w:rPr>
                <w:rFonts w:ascii="Noto Sans CJK SC" w:hAnsi="Noto Sans CJK SC" w:eastAsia="Noto Sans CJK SC"/>
                <w:b w:val="0"/>
                <w:sz w:val="17"/>
              </w:rPr>
              <w:t>价格战影响利润</w:t>
            </w:r>
          </w:p>
        </w:tc>
      </w:tr>
      <w:tr>
        <w:tc>
          <w:tcPr>
            <w:tcW w:type="dxa" w:w="1728"/>
            <w:vAlign w:val="center"/>
          </w:tcPr>
          <w:p>
            <w:r/>
            <w:r>
              <w:rPr>
                <w:rFonts w:ascii="Noto Sans CJK SC" w:hAnsi="Noto Sans CJK SC" w:eastAsia="Noto Sans CJK SC"/>
                <w:b w:val="0"/>
                <w:sz w:val="17"/>
              </w:rPr>
              <w:t>扣非归母净利润</w:t>
            </w:r>
          </w:p>
        </w:tc>
        <w:tc>
          <w:tcPr>
            <w:tcW w:type="dxa" w:w="2016"/>
            <w:vAlign w:val="center"/>
          </w:tcPr>
          <w:p>
            <w:r/>
            <w:r>
              <w:rPr>
                <w:rFonts w:ascii="Noto Sans CJK SC" w:hAnsi="Noto Sans CJK SC" w:eastAsia="Noto Sans CJK SC"/>
                <w:b w:val="0"/>
                <w:sz w:val="17"/>
              </w:rPr>
              <w:t>高位</w:t>
            </w:r>
          </w:p>
        </w:tc>
        <w:tc>
          <w:tcPr>
            <w:tcW w:type="dxa" w:w="2592"/>
            <w:vAlign w:val="center"/>
          </w:tcPr>
          <w:p>
            <w:r/>
            <w:r>
              <w:rPr>
                <w:rFonts w:ascii="Noto Sans CJK SC" w:hAnsi="Noto Sans CJK SC" w:eastAsia="Noto Sans CJK SC"/>
                <w:b w:val="0"/>
                <w:sz w:val="17"/>
              </w:rPr>
              <w:t>294.46亿元，同比下降20.38%</w:t>
            </w:r>
          </w:p>
        </w:tc>
        <w:tc>
          <w:tcPr>
            <w:tcW w:type="dxa" w:w="3456"/>
            <w:vAlign w:val="center"/>
          </w:tcPr>
          <w:p>
            <w:r/>
            <w:r>
              <w:rPr>
                <w:rFonts w:ascii="Noto Sans CJK SC" w:hAnsi="Noto Sans CJK SC" w:eastAsia="Noto Sans CJK SC"/>
                <w:b w:val="0"/>
                <w:sz w:val="17"/>
              </w:rPr>
              <w:t>主营利润承压</w:t>
            </w:r>
          </w:p>
        </w:tc>
      </w:tr>
      <w:tr>
        <w:tc>
          <w:tcPr>
            <w:tcW w:type="dxa" w:w="1728"/>
            <w:vAlign w:val="center"/>
          </w:tcPr>
          <w:p>
            <w:r/>
            <w:r>
              <w:rPr>
                <w:rFonts w:ascii="Noto Sans CJK SC" w:hAnsi="Noto Sans CJK SC" w:eastAsia="Noto Sans CJK SC"/>
                <w:b w:val="0"/>
                <w:sz w:val="17"/>
              </w:rPr>
              <w:t>ROE</w:t>
            </w:r>
          </w:p>
        </w:tc>
        <w:tc>
          <w:tcPr>
            <w:tcW w:type="dxa" w:w="2016"/>
            <w:vAlign w:val="center"/>
          </w:tcPr>
          <w:p>
            <w:r/>
            <w:r>
              <w:rPr>
                <w:rFonts w:ascii="Noto Sans CJK SC" w:hAnsi="Noto Sans CJK SC" w:eastAsia="Noto Sans CJK SC"/>
                <w:b w:val="0"/>
                <w:sz w:val="17"/>
              </w:rPr>
              <w:t>较高</w:t>
            </w:r>
          </w:p>
        </w:tc>
        <w:tc>
          <w:tcPr>
            <w:tcW w:type="dxa" w:w="2592"/>
            <w:vAlign w:val="center"/>
          </w:tcPr>
          <w:p>
            <w:r/>
            <w:r>
              <w:rPr>
                <w:rFonts w:ascii="Noto Sans CJK SC" w:hAnsi="Noto Sans CJK SC" w:eastAsia="Noto Sans CJK SC"/>
                <w:b w:val="0"/>
                <w:sz w:val="17"/>
              </w:rPr>
              <w:t>约15.31%</w:t>
            </w:r>
          </w:p>
        </w:tc>
        <w:tc>
          <w:tcPr>
            <w:tcW w:type="dxa" w:w="3456"/>
            <w:vAlign w:val="center"/>
          </w:tcPr>
          <w:p>
            <w:r/>
            <w:r>
              <w:rPr>
                <w:rFonts w:ascii="Noto Sans CJK SC" w:hAnsi="Noto Sans CJK SC" w:eastAsia="Noto Sans CJK SC"/>
                <w:b w:val="0"/>
                <w:sz w:val="17"/>
              </w:rPr>
              <w:t>仍不错，但低于高景气阶段</w:t>
            </w:r>
          </w:p>
        </w:tc>
      </w:tr>
      <w:tr>
        <w:tc>
          <w:tcPr>
            <w:tcW w:type="dxa" w:w="1728"/>
            <w:vAlign w:val="center"/>
          </w:tcPr>
          <w:p>
            <w:r/>
            <w:r>
              <w:rPr>
                <w:rFonts w:ascii="Noto Sans CJK SC" w:hAnsi="Noto Sans CJK SC" w:eastAsia="Noto Sans CJK SC"/>
                <w:b w:val="0"/>
                <w:sz w:val="17"/>
              </w:rPr>
              <w:t>分红</w:t>
            </w:r>
          </w:p>
        </w:tc>
        <w:tc>
          <w:tcPr>
            <w:tcW w:type="dxa" w:w="2016"/>
            <w:vAlign w:val="center"/>
          </w:tcPr>
          <w:p>
            <w:r/>
            <w:r>
              <w:rPr>
                <w:rFonts w:ascii="Noto Sans CJK SC" w:hAnsi="Noto Sans CJK SC" w:eastAsia="Noto Sans CJK SC"/>
                <w:b w:val="0"/>
                <w:sz w:val="17"/>
              </w:rPr>
              <w:t>低股息</w:t>
            </w:r>
          </w:p>
        </w:tc>
        <w:tc>
          <w:tcPr>
            <w:tcW w:type="dxa" w:w="2592"/>
            <w:vAlign w:val="center"/>
          </w:tcPr>
          <w:p>
            <w:r/>
            <w:r>
              <w:rPr>
                <w:rFonts w:ascii="Noto Sans CJK SC" w:hAnsi="Noto Sans CJK SC" w:eastAsia="Noto Sans CJK SC"/>
                <w:b w:val="0"/>
                <w:sz w:val="17"/>
              </w:rPr>
              <w:t>每10股派3.58元</w:t>
            </w:r>
          </w:p>
        </w:tc>
        <w:tc>
          <w:tcPr>
            <w:tcW w:type="dxa" w:w="3456"/>
            <w:vAlign w:val="center"/>
          </w:tcPr>
          <w:p>
            <w:r/>
            <w:r>
              <w:rPr>
                <w:rFonts w:ascii="Noto Sans CJK SC" w:hAnsi="Noto Sans CJK SC" w:eastAsia="Noto Sans CJK SC"/>
                <w:b w:val="0"/>
                <w:sz w:val="17"/>
              </w:rPr>
              <w:t>不是红利型资产</w:t>
            </w:r>
          </w:p>
        </w:tc>
      </w:tr>
    </w:tbl>
    <w:p/>
    <w:p>
      <w:pPr>
        <w:spacing w:after="100"/>
      </w:pPr>
      <w:r>
        <w:rPr>
          <w:rFonts w:ascii="Noto Sans CJK SC" w:hAnsi="Noto Sans CJK SC" w:eastAsia="Noto Sans CJK SC"/>
          <w:sz w:val="20"/>
        </w:rPr>
        <w:t>2026年一季度，比亚迪营收约1502.25亿元，同比下降11.82%；归母净利润约40.85亿元，同比下降55.38%。这表明公司正处在国内新能源车价格战和需求波动带来的利润压力期。</w:t>
      </w:r>
    </w:p>
    <w:p>
      <w:r>
        <w:br w:type="page"/>
      </w:r>
    </w:p>
    <w:p>
      <w:pPr>
        <w:pStyle w:val="Heading1"/>
      </w:pPr>
      <w:r>
        <w:t>三、企业经营情况</w:t>
      </w:r>
    </w:p>
    <w:p>
      <w:pPr>
        <w:pStyle w:val="Heading2"/>
      </w:pPr>
      <w:r>
        <w:t>1. 垂直一体化是核心竞争力</w:t>
      </w:r>
    </w:p>
    <w:p>
      <w:pPr>
        <w:spacing w:after="100"/>
      </w:pPr>
      <w:r>
        <w:rPr>
          <w:rFonts w:ascii="Noto Sans CJK SC" w:hAnsi="Noto Sans CJK SC" w:eastAsia="Noto Sans CJK SC"/>
          <w:sz w:val="20"/>
        </w:rPr>
        <w:t>比亚迪同时具备整车、电池、电机、电控、功率半导体和电子制造能力。该模式在行业快速扩张阶段能显著降低成本、提升交付效率，也能在价格战中提供更强生存能力。</w:t>
      </w:r>
    </w:p>
    <w:p>
      <w:pPr>
        <w:pStyle w:val="Heading2"/>
      </w:pPr>
      <w:r>
        <w:t>2. 整车业务决定利润波动</w:t>
      </w:r>
    </w:p>
    <w:p>
      <w:pPr>
        <w:spacing w:after="100"/>
      </w:pPr>
      <w:r>
        <w:rPr>
          <w:rFonts w:ascii="Noto Sans CJK SC" w:hAnsi="Noto Sans CJK SC" w:eastAsia="Noto Sans CJK SC"/>
          <w:sz w:val="20"/>
        </w:rPr>
        <w:t>整车行业天然具有强竞争、低净利率、高固定成本和强库存周期特点。即便比亚迪具备技术和规模优势，短期利润仍会被价格战和车型结构拖累。</w:t>
      </w:r>
    </w:p>
    <w:p>
      <w:pPr>
        <w:pStyle w:val="Heading2"/>
      </w:pPr>
      <w:r>
        <w:t>3. 海外业务是估值上限</w:t>
      </w:r>
    </w:p>
    <w:p>
      <w:pPr>
        <w:spacing w:after="100"/>
      </w:pPr>
      <w:r>
        <w:rPr>
          <w:rFonts w:ascii="Noto Sans CJK SC" w:hAnsi="Noto Sans CJK SC" w:eastAsia="Noto Sans CJK SC"/>
          <w:sz w:val="20"/>
        </w:rPr>
        <w:t>国内市场从高增长转向结构竞争后，海外扩张成为比亚迪估值能否继续向上突破的关键。海外市场可能带来更高单车盈利，但也面临关税、渠道、本地化生产和品牌建设成本。</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center"/>
            <w:shd w:fill="D9EAF7"/>
          </w:tcPr>
          <w:p>
            <w:r/>
            <w:r>
              <w:rPr>
                <w:rFonts w:ascii="Noto Sans CJK SC" w:hAnsi="Noto Sans CJK SC" w:eastAsia="Noto Sans CJK SC"/>
                <w:b/>
                <w:sz w:val="17"/>
              </w:rPr>
              <w:t>维度</w:t>
            </w:r>
          </w:p>
        </w:tc>
        <w:tc>
          <w:tcPr>
            <w:tcW w:type="dxa" w:w="1440"/>
            <w:vAlign w:val="center"/>
            <w:shd w:fill="D9EAF7"/>
          </w:tcPr>
          <w:p>
            <w:r/>
            <w:r>
              <w:rPr>
                <w:rFonts w:ascii="Noto Sans CJK SC" w:hAnsi="Noto Sans CJK SC" w:eastAsia="Noto Sans CJK SC"/>
                <w:b/>
                <w:sz w:val="17"/>
              </w:rPr>
              <w:t>评价</w:t>
            </w:r>
          </w:p>
        </w:tc>
        <w:tc>
          <w:tcPr>
            <w:tcW w:type="dxa" w:w="6624"/>
            <w:vAlign w:val="center"/>
            <w:shd w:fill="D9EAF7"/>
          </w:tcPr>
          <w:p>
            <w:r/>
            <w:r>
              <w:rPr>
                <w:rFonts w:ascii="Noto Sans CJK SC" w:hAnsi="Noto Sans CJK SC" w:eastAsia="Noto Sans CJK SC"/>
                <w:b/>
                <w:sz w:val="17"/>
              </w:rPr>
              <w:t>说明</w:t>
            </w:r>
          </w:p>
        </w:tc>
      </w:tr>
      <w:tr>
        <w:tc>
          <w:tcPr>
            <w:tcW w:type="dxa" w:w="1728"/>
            <w:vAlign w:val="center"/>
          </w:tcPr>
          <w:p>
            <w:r/>
            <w:r>
              <w:rPr>
                <w:rFonts w:ascii="Noto Sans CJK SC" w:hAnsi="Noto Sans CJK SC" w:eastAsia="Noto Sans CJK SC"/>
                <w:b w:val="0"/>
                <w:sz w:val="17"/>
              </w:rPr>
              <w:t>规模</w:t>
            </w:r>
          </w:p>
        </w:tc>
        <w:tc>
          <w:tcPr>
            <w:tcW w:type="dxa" w:w="1440"/>
            <w:vAlign w:val="center"/>
          </w:tcPr>
          <w:p>
            <w:r/>
            <w:r>
              <w:rPr>
                <w:rFonts w:ascii="Noto Sans CJK SC" w:hAnsi="Noto Sans CJK SC" w:eastAsia="Noto Sans CJK SC"/>
                <w:b w:val="0"/>
                <w:sz w:val="17"/>
              </w:rPr>
              <w:t>极强</w:t>
            </w:r>
          </w:p>
        </w:tc>
        <w:tc>
          <w:tcPr>
            <w:tcW w:type="dxa" w:w="6624"/>
            <w:vAlign w:val="center"/>
          </w:tcPr>
          <w:p>
            <w:r/>
            <w:r>
              <w:rPr>
                <w:rFonts w:ascii="Noto Sans CJK SC" w:hAnsi="Noto Sans CJK SC" w:eastAsia="Noto Sans CJK SC"/>
                <w:b w:val="0"/>
                <w:sz w:val="17"/>
              </w:rPr>
              <w:t>新能源车销量和收入规模全球领先</w:t>
            </w:r>
          </w:p>
        </w:tc>
      </w:tr>
      <w:tr>
        <w:tc>
          <w:tcPr>
            <w:tcW w:type="dxa" w:w="1728"/>
            <w:vAlign w:val="center"/>
          </w:tcPr>
          <w:p>
            <w:r/>
            <w:r>
              <w:rPr>
                <w:rFonts w:ascii="Noto Sans CJK SC" w:hAnsi="Noto Sans CJK SC" w:eastAsia="Noto Sans CJK SC"/>
                <w:b w:val="0"/>
                <w:sz w:val="17"/>
              </w:rPr>
              <w:t>成本控制</w:t>
            </w:r>
          </w:p>
        </w:tc>
        <w:tc>
          <w:tcPr>
            <w:tcW w:type="dxa" w:w="1440"/>
            <w:vAlign w:val="center"/>
          </w:tcPr>
          <w:p>
            <w:r/>
            <w:r>
              <w:rPr>
                <w:rFonts w:ascii="Noto Sans CJK SC" w:hAnsi="Noto Sans CJK SC" w:eastAsia="Noto Sans CJK SC"/>
                <w:b w:val="0"/>
                <w:sz w:val="17"/>
              </w:rPr>
              <w:t>强</w:t>
            </w:r>
          </w:p>
        </w:tc>
        <w:tc>
          <w:tcPr>
            <w:tcW w:type="dxa" w:w="6624"/>
            <w:vAlign w:val="center"/>
          </w:tcPr>
          <w:p>
            <w:r/>
            <w:r>
              <w:rPr>
                <w:rFonts w:ascii="Noto Sans CJK SC" w:hAnsi="Noto Sans CJK SC" w:eastAsia="Noto Sans CJK SC"/>
                <w:b w:val="0"/>
                <w:sz w:val="17"/>
              </w:rPr>
              <w:t>垂直一体化带来明显成本优势</w:t>
            </w:r>
          </w:p>
        </w:tc>
      </w:tr>
      <w:tr>
        <w:tc>
          <w:tcPr>
            <w:tcW w:type="dxa" w:w="1728"/>
            <w:vAlign w:val="center"/>
          </w:tcPr>
          <w:p>
            <w:r/>
            <w:r>
              <w:rPr>
                <w:rFonts w:ascii="Noto Sans CJK SC" w:hAnsi="Noto Sans CJK SC" w:eastAsia="Noto Sans CJK SC"/>
                <w:b w:val="0"/>
                <w:sz w:val="17"/>
              </w:rPr>
              <w:t>利润稳定性</w:t>
            </w:r>
          </w:p>
        </w:tc>
        <w:tc>
          <w:tcPr>
            <w:tcW w:type="dxa" w:w="1440"/>
            <w:vAlign w:val="center"/>
          </w:tcPr>
          <w:p>
            <w:r/>
            <w:r>
              <w:rPr>
                <w:rFonts w:ascii="Noto Sans CJK SC" w:hAnsi="Noto Sans CJK SC" w:eastAsia="Noto Sans CJK SC"/>
                <w:b w:val="0"/>
                <w:sz w:val="17"/>
              </w:rPr>
              <w:t>中等</w:t>
            </w:r>
          </w:p>
        </w:tc>
        <w:tc>
          <w:tcPr>
            <w:tcW w:type="dxa" w:w="6624"/>
            <w:vAlign w:val="center"/>
          </w:tcPr>
          <w:p>
            <w:r/>
            <w:r>
              <w:rPr>
                <w:rFonts w:ascii="Noto Sans CJK SC" w:hAnsi="Noto Sans CJK SC" w:eastAsia="Noto Sans CJK SC"/>
                <w:b w:val="0"/>
                <w:sz w:val="17"/>
              </w:rPr>
              <w:t>受价格战和车型结构影响较大</w:t>
            </w:r>
          </w:p>
        </w:tc>
      </w:tr>
      <w:tr>
        <w:tc>
          <w:tcPr>
            <w:tcW w:type="dxa" w:w="1728"/>
            <w:vAlign w:val="center"/>
          </w:tcPr>
          <w:p>
            <w:r/>
            <w:r>
              <w:rPr>
                <w:rFonts w:ascii="Noto Sans CJK SC" w:hAnsi="Noto Sans CJK SC" w:eastAsia="Noto Sans CJK SC"/>
                <w:b w:val="0"/>
                <w:sz w:val="17"/>
              </w:rPr>
              <w:t>分红属性</w:t>
            </w:r>
          </w:p>
        </w:tc>
        <w:tc>
          <w:tcPr>
            <w:tcW w:type="dxa" w:w="1440"/>
            <w:vAlign w:val="center"/>
          </w:tcPr>
          <w:p>
            <w:r/>
            <w:r>
              <w:rPr>
                <w:rFonts w:ascii="Noto Sans CJK SC" w:hAnsi="Noto Sans CJK SC" w:eastAsia="Noto Sans CJK SC"/>
                <w:b w:val="0"/>
                <w:sz w:val="17"/>
              </w:rPr>
              <w:t>弱</w:t>
            </w:r>
          </w:p>
        </w:tc>
        <w:tc>
          <w:tcPr>
            <w:tcW w:type="dxa" w:w="6624"/>
            <w:vAlign w:val="center"/>
          </w:tcPr>
          <w:p>
            <w:r/>
            <w:r>
              <w:rPr>
                <w:rFonts w:ascii="Noto Sans CJK SC" w:hAnsi="Noto Sans CJK SC" w:eastAsia="Noto Sans CJK SC"/>
                <w:b w:val="0"/>
                <w:sz w:val="17"/>
              </w:rPr>
              <w:t>现金回报不是投资主逻辑</w:t>
            </w:r>
          </w:p>
        </w:tc>
      </w:tr>
      <w:tr>
        <w:tc>
          <w:tcPr>
            <w:tcW w:type="dxa" w:w="1728"/>
            <w:vAlign w:val="center"/>
          </w:tcPr>
          <w:p>
            <w:r/>
            <w:r>
              <w:rPr>
                <w:rFonts w:ascii="Noto Sans CJK SC" w:hAnsi="Noto Sans CJK SC" w:eastAsia="Noto Sans CJK SC"/>
                <w:b w:val="0"/>
                <w:sz w:val="17"/>
              </w:rPr>
              <w:t>成长弹性</w:t>
            </w:r>
          </w:p>
        </w:tc>
        <w:tc>
          <w:tcPr>
            <w:tcW w:type="dxa" w:w="1440"/>
            <w:vAlign w:val="center"/>
          </w:tcPr>
          <w:p>
            <w:r/>
            <w:r>
              <w:rPr>
                <w:rFonts w:ascii="Noto Sans CJK SC" w:hAnsi="Noto Sans CJK SC" w:eastAsia="Noto Sans CJK SC"/>
                <w:b w:val="0"/>
                <w:sz w:val="17"/>
              </w:rPr>
              <w:t>高</w:t>
            </w:r>
          </w:p>
        </w:tc>
        <w:tc>
          <w:tcPr>
            <w:tcW w:type="dxa" w:w="6624"/>
            <w:vAlign w:val="center"/>
          </w:tcPr>
          <w:p>
            <w:r/>
            <w:r>
              <w:rPr>
                <w:rFonts w:ascii="Noto Sans CJK SC" w:hAnsi="Noto Sans CJK SC" w:eastAsia="Noto Sans CJK SC"/>
                <w:b w:val="0"/>
                <w:sz w:val="17"/>
              </w:rPr>
              <w:t>海外、高端化和技术迭代仍有空间</w:t>
            </w:r>
          </w:p>
        </w:tc>
      </w:tr>
    </w:tbl>
    <w:p/>
    <w:p>
      <w:pPr>
        <w:pStyle w:val="Heading1"/>
      </w:pPr>
      <w:r>
        <w:t>四、行业地位与护城河</w:t>
      </w:r>
    </w:p>
    <w:tbl>
      <w:tblPr>
        <w:tblStyle w:val="TableGrid"/>
        <w:tblW w:type="auto" w:w="0"/>
        <w:jc w:val="center"/>
        <w:tblLook w:firstColumn="1" w:firstRow="1" w:lastColumn="0" w:lastRow="0" w:noHBand="0" w:noVBand="1" w:val="04A0"/>
      </w:tblPr>
      <w:tblGrid>
        <w:gridCol w:w="3408"/>
        <w:gridCol w:w="3408"/>
        <w:gridCol w:w="3408"/>
      </w:tblGrid>
      <w:tr>
        <w:tc>
          <w:tcPr>
            <w:tcW w:type="dxa" w:w="1872"/>
            <w:vAlign w:val="center"/>
            <w:shd w:fill="D9EAF7"/>
          </w:tcPr>
          <w:p>
            <w:r/>
            <w:r>
              <w:rPr>
                <w:rFonts w:ascii="Noto Sans CJK SC" w:hAnsi="Noto Sans CJK SC" w:eastAsia="Noto Sans CJK SC"/>
                <w:b/>
                <w:sz w:val="17"/>
              </w:rPr>
              <w:t>护城河</w:t>
            </w:r>
          </w:p>
        </w:tc>
        <w:tc>
          <w:tcPr>
            <w:tcW w:type="dxa" w:w="1440"/>
            <w:vAlign w:val="center"/>
            <w:shd w:fill="D9EAF7"/>
          </w:tcPr>
          <w:p>
            <w:r/>
            <w:r>
              <w:rPr>
                <w:rFonts w:ascii="Noto Sans CJK SC" w:hAnsi="Noto Sans CJK SC" w:eastAsia="Noto Sans CJK SC"/>
                <w:b/>
                <w:sz w:val="17"/>
              </w:rPr>
              <w:t>强度</w:t>
            </w:r>
          </w:p>
        </w:tc>
        <w:tc>
          <w:tcPr>
            <w:tcW w:type="dxa" w:w="6480"/>
            <w:vAlign w:val="center"/>
            <w:shd w:fill="D9EAF7"/>
          </w:tcPr>
          <w:p>
            <w:r/>
            <w:r>
              <w:rPr>
                <w:rFonts w:ascii="Noto Sans CJK SC" w:hAnsi="Noto Sans CJK SC" w:eastAsia="Noto Sans CJK SC"/>
                <w:b/>
                <w:sz w:val="17"/>
              </w:rPr>
              <w:t>说明</w:t>
            </w:r>
          </w:p>
        </w:tc>
      </w:tr>
      <w:tr>
        <w:tc>
          <w:tcPr>
            <w:tcW w:type="dxa" w:w="1872"/>
            <w:vAlign w:val="center"/>
          </w:tcPr>
          <w:p>
            <w:r/>
            <w:r>
              <w:rPr>
                <w:rFonts w:ascii="Noto Sans CJK SC" w:hAnsi="Noto Sans CJK SC" w:eastAsia="Noto Sans CJK SC"/>
                <w:b w:val="0"/>
                <w:sz w:val="17"/>
              </w:rPr>
              <w:t>垂直一体化</w:t>
            </w:r>
          </w:p>
        </w:tc>
        <w:tc>
          <w:tcPr>
            <w:tcW w:type="dxa" w:w="1440"/>
            <w:vAlign w:val="center"/>
          </w:tcPr>
          <w:p>
            <w:r/>
            <w:r>
              <w:rPr>
                <w:rFonts w:ascii="Noto Sans CJK SC" w:hAnsi="Noto Sans CJK SC" w:eastAsia="Noto Sans CJK SC"/>
                <w:b w:val="0"/>
                <w:sz w:val="17"/>
              </w:rPr>
              <w:t>★★★★★</w:t>
            </w:r>
          </w:p>
        </w:tc>
        <w:tc>
          <w:tcPr>
            <w:tcW w:type="dxa" w:w="6480"/>
            <w:vAlign w:val="center"/>
          </w:tcPr>
          <w:p>
            <w:r/>
            <w:r>
              <w:rPr>
                <w:rFonts w:ascii="Noto Sans CJK SC" w:hAnsi="Noto Sans CJK SC" w:eastAsia="Noto Sans CJK SC"/>
                <w:b w:val="0"/>
                <w:sz w:val="17"/>
              </w:rPr>
              <w:t>产业链控制强，成本与供应稳定性领先</w:t>
            </w:r>
          </w:p>
        </w:tc>
      </w:tr>
      <w:tr>
        <w:tc>
          <w:tcPr>
            <w:tcW w:type="dxa" w:w="1872"/>
            <w:vAlign w:val="center"/>
          </w:tcPr>
          <w:p>
            <w:r/>
            <w:r>
              <w:rPr>
                <w:rFonts w:ascii="Noto Sans CJK SC" w:hAnsi="Noto Sans CJK SC" w:eastAsia="Noto Sans CJK SC"/>
                <w:b w:val="0"/>
                <w:sz w:val="17"/>
              </w:rPr>
              <w:t>产品矩阵</w:t>
            </w:r>
          </w:p>
        </w:tc>
        <w:tc>
          <w:tcPr>
            <w:tcW w:type="dxa" w:w="1440"/>
            <w:vAlign w:val="center"/>
          </w:tcPr>
          <w:p>
            <w:r/>
            <w:r>
              <w:rPr>
                <w:rFonts w:ascii="Noto Sans CJK SC" w:hAnsi="Noto Sans CJK SC" w:eastAsia="Noto Sans CJK SC"/>
                <w:b w:val="0"/>
                <w:sz w:val="17"/>
              </w:rPr>
              <w:t>★★★★★</w:t>
            </w:r>
          </w:p>
        </w:tc>
        <w:tc>
          <w:tcPr>
            <w:tcW w:type="dxa" w:w="6480"/>
            <w:vAlign w:val="center"/>
          </w:tcPr>
          <w:p>
            <w:r/>
            <w:r>
              <w:rPr>
                <w:rFonts w:ascii="Noto Sans CJK SC" w:hAnsi="Noto Sans CJK SC" w:eastAsia="Noto Sans CJK SC"/>
                <w:b w:val="0"/>
                <w:sz w:val="17"/>
              </w:rPr>
              <w:t>覆盖王朝、海洋、腾势、方程豹、仰望等多层级品牌</w:t>
            </w:r>
          </w:p>
        </w:tc>
      </w:tr>
      <w:tr>
        <w:tc>
          <w:tcPr>
            <w:tcW w:type="dxa" w:w="1872"/>
            <w:vAlign w:val="center"/>
          </w:tcPr>
          <w:p>
            <w:r/>
            <w:r>
              <w:rPr>
                <w:rFonts w:ascii="Noto Sans CJK SC" w:hAnsi="Noto Sans CJK SC" w:eastAsia="Noto Sans CJK SC"/>
                <w:b w:val="0"/>
                <w:sz w:val="17"/>
              </w:rPr>
              <w:t>技术储备</w:t>
            </w:r>
          </w:p>
        </w:tc>
        <w:tc>
          <w:tcPr>
            <w:tcW w:type="dxa" w:w="1440"/>
            <w:vAlign w:val="center"/>
          </w:tcPr>
          <w:p>
            <w:r/>
            <w:r>
              <w:rPr>
                <w:rFonts w:ascii="Noto Sans CJK SC" w:hAnsi="Noto Sans CJK SC" w:eastAsia="Noto Sans CJK SC"/>
                <w:b w:val="0"/>
                <w:sz w:val="17"/>
              </w:rPr>
              <w:t>★★★★</w:t>
            </w:r>
          </w:p>
        </w:tc>
        <w:tc>
          <w:tcPr>
            <w:tcW w:type="dxa" w:w="6480"/>
            <w:vAlign w:val="center"/>
          </w:tcPr>
          <w:p>
            <w:r/>
            <w:r>
              <w:rPr>
                <w:rFonts w:ascii="Noto Sans CJK SC" w:hAnsi="Noto Sans CJK SC" w:eastAsia="Noto Sans CJK SC"/>
                <w:b w:val="0"/>
                <w:sz w:val="17"/>
              </w:rPr>
              <w:t>刀片电池、DM-i/DM-p、快充、智能化持续迭代</w:t>
            </w:r>
          </w:p>
        </w:tc>
      </w:tr>
      <w:tr>
        <w:tc>
          <w:tcPr>
            <w:tcW w:type="dxa" w:w="1872"/>
            <w:vAlign w:val="center"/>
          </w:tcPr>
          <w:p>
            <w:r/>
            <w:r>
              <w:rPr>
                <w:rFonts w:ascii="Noto Sans CJK SC" w:hAnsi="Noto Sans CJK SC" w:eastAsia="Noto Sans CJK SC"/>
                <w:b w:val="0"/>
                <w:sz w:val="17"/>
              </w:rPr>
              <w:t>品牌力</w:t>
            </w:r>
          </w:p>
        </w:tc>
        <w:tc>
          <w:tcPr>
            <w:tcW w:type="dxa" w:w="1440"/>
            <w:vAlign w:val="center"/>
          </w:tcPr>
          <w:p>
            <w:r/>
            <w:r>
              <w:rPr>
                <w:rFonts w:ascii="Noto Sans CJK SC" w:hAnsi="Noto Sans CJK SC" w:eastAsia="Noto Sans CJK SC"/>
                <w:b w:val="0"/>
                <w:sz w:val="17"/>
              </w:rPr>
              <w:t>★★★★</w:t>
            </w:r>
          </w:p>
        </w:tc>
        <w:tc>
          <w:tcPr>
            <w:tcW w:type="dxa" w:w="6480"/>
            <w:vAlign w:val="center"/>
          </w:tcPr>
          <w:p>
            <w:r/>
            <w:r>
              <w:rPr>
                <w:rFonts w:ascii="Noto Sans CJK SC" w:hAnsi="Noto Sans CJK SC" w:eastAsia="Noto Sans CJK SC"/>
                <w:b w:val="0"/>
                <w:sz w:val="17"/>
              </w:rPr>
              <w:t>国内强，海外品牌仍在建设</w:t>
            </w:r>
          </w:p>
        </w:tc>
      </w:tr>
      <w:tr>
        <w:tc>
          <w:tcPr>
            <w:tcW w:type="dxa" w:w="1872"/>
            <w:vAlign w:val="center"/>
          </w:tcPr>
          <w:p>
            <w:r/>
            <w:r>
              <w:rPr>
                <w:rFonts w:ascii="Noto Sans CJK SC" w:hAnsi="Noto Sans CJK SC" w:eastAsia="Noto Sans CJK SC"/>
                <w:b w:val="0"/>
                <w:sz w:val="17"/>
              </w:rPr>
              <w:t>海外能力</w:t>
            </w:r>
          </w:p>
        </w:tc>
        <w:tc>
          <w:tcPr>
            <w:tcW w:type="dxa" w:w="1440"/>
            <w:vAlign w:val="center"/>
          </w:tcPr>
          <w:p>
            <w:r/>
            <w:r>
              <w:rPr>
                <w:rFonts w:ascii="Noto Sans CJK SC" w:hAnsi="Noto Sans CJK SC" w:eastAsia="Noto Sans CJK SC"/>
                <w:b w:val="0"/>
                <w:sz w:val="17"/>
              </w:rPr>
              <w:t>★★★</w:t>
            </w:r>
          </w:p>
        </w:tc>
        <w:tc>
          <w:tcPr>
            <w:tcW w:type="dxa" w:w="6480"/>
            <w:vAlign w:val="center"/>
          </w:tcPr>
          <w:p>
            <w:r/>
            <w:r>
              <w:rPr>
                <w:rFonts w:ascii="Noto Sans CJK SC" w:hAnsi="Noto Sans CJK SC" w:eastAsia="Noto Sans CJK SC"/>
                <w:b w:val="0"/>
                <w:sz w:val="17"/>
              </w:rPr>
              <w:t>增长快，但本地化和渠道仍需验证</w:t>
            </w:r>
          </w:p>
        </w:tc>
      </w:tr>
      <w:tr>
        <w:tc>
          <w:tcPr>
            <w:tcW w:type="dxa" w:w="1872"/>
            <w:vAlign w:val="center"/>
          </w:tcPr>
          <w:p>
            <w:r/>
            <w:r>
              <w:rPr>
                <w:rFonts w:ascii="Noto Sans CJK SC" w:hAnsi="Noto Sans CJK SC" w:eastAsia="Noto Sans CJK SC"/>
                <w:b w:val="0"/>
                <w:sz w:val="17"/>
              </w:rPr>
              <w:t>盈利稳定性</w:t>
            </w:r>
          </w:p>
        </w:tc>
        <w:tc>
          <w:tcPr>
            <w:tcW w:type="dxa" w:w="1440"/>
            <w:vAlign w:val="center"/>
          </w:tcPr>
          <w:p>
            <w:r/>
            <w:r>
              <w:rPr>
                <w:rFonts w:ascii="Noto Sans CJK SC" w:hAnsi="Noto Sans CJK SC" w:eastAsia="Noto Sans CJK SC"/>
                <w:b w:val="0"/>
                <w:sz w:val="17"/>
              </w:rPr>
              <w:t>★★★</w:t>
            </w:r>
          </w:p>
        </w:tc>
        <w:tc>
          <w:tcPr>
            <w:tcW w:type="dxa" w:w="6480"/>
            <w:vAlign w:val="center"/>
          </w:tcPr>
          <w:p>
            <w:r/>
            <w:r>
              <w:rPr>
                <w:rFonts w:ascii="Noto Sans CJK SC" w:hAnsi="Noto Sans CJK SC" w:eastAsia="Noto Sans CJK SC"/>
                <w:b w:val="0"/>
                <w:sz w:val="17"/>
              </w:rPr>
              <w:t>整车价格战下波动较大</w:t>
            </w:r>
          </w:p>
        </w:tc>
      </w:tr>
    </w:tbl>
    <w:p/>
    <w:p>
      <w:pPr>
        <w:pStyle w:val="Heading1"/>
      </w:pPr>
      <w:r>
        <w:t>五、市场声音与估值</w:t>
      </w:r>
    </w:p>
    <w:p>
      <w:pPr>
        <w:spacing w:after="100"/>
      </w:pPr>
      <w:r>
        <w:rPr>
          <w:rFonts w:ascii="Noto Sans CJK SC" w:hAnsi="Noto Sans CJK SC" w:eastAsia="Noto Sans CJK SC"/>
          <w:sz w:val="20"/>
        </w:rPr>
        <w:t>市场对比亚迪的分歧是典型“好公司 vs 周期利润压力”。看多者看重全球新能源车龙头、海外空间和垂直一体化；看空者担心国内价格战使利润率长期被压缩。</w:t>
      </w:r>
    </w:p>
    <w:tbl>
      <w:tblPr>
        <w:tblStyle w:val="TableGrid"/>
        <w:tblW w:type="auto" w:w="0"/>
        <w:jc w:val="center"/>
        <w:tblLook w:firstColumn="1" w:firstRow="1" w:lastColumn="0" w:lastRow="0" w:noHBand="0" w:noVBand="1" w:val="04A0"/>
      </w:tblPr>
      <w:tblGrid>
        <w:gridCol w:w="5112"/>
        <w:gridCol w:w="5112"/>
      </w:tblGrid>
      <w:tr>
        <w:tc>
          <w:tcPr>
            <w:tcW w:type="dxa" w:w="1728"/>
            <w:vAlign w:val="center"/>
            <w:shd w:fill="D9EAF7"/>
          </w:tcPr>
          <w:p>
            <w:r/>
            <w:r>
              <w:rPr>
                <w:rFonts w:ascii="Noto Sans CJK SC" w:hAnsi="Noto Sans CJK SC" w:eastAsia="Noto Sans CJK SC"/>
                <w:b/>
                <w:sz w:val="17"/>
              </w:rPr>
              <w:t>市场观点</w:t>
            </w:r>
          </w:p>
        </w:tc>
        <w:tc>
          <w:tcPr>
            <w:tcW w:type="dxa" w:w="8064"/>
            <w:vAlign w:val="center"/>
            <w:shd w:fill="D9EAF7"/>
          </w:tcPr>
          <w:p>
            <w:r/>
            <w:r>
              <w:rPr>
                <w:rFonts w:ascii="Noto Sans CJK SC" w:hAnsi="Noto Sans CJK SC" w:eastAsia="Noto Sans CJK SC"/>
                <w:b/>
                <w:sz w:val="17"/>
              </w:rPr>
              <w:t>主要逻辑</w:t>
            </w:r>
          </w:p>
        </w:tc>
      </w:tr>
      <w:tr>
        <w:tc>
          <w:tcPr>
            <w:tcW w:type="dxa" w:w="1728"/>
            <w:vAlign w:val="center"/>
          </w:tcPr>
          <w:p>
            <w:r/>
            <w:r>
              <w:rPr>
                <w:rFonts w:ascii="Noto Sans CJK SC" w:hAnsi="Noto Sans CJK SC" w:eastAsia="Noto Sans CJK SC"/>
                <w:b w:val="0"/>
                <w:sz w:val="17"/>
              </w:rPr>
              <w:t>看多</w:t>
            </w:r>
          </w:p>
        </w:tc>
        <w:tc>
          <w:tcPr>
            <w:tcW w:type="dxa" w:w="8064"/>
            <w:vAlign w:val="center"/>
          </w:tcPr>
          <w:p>
            <w:r/>
            <w:r>
              <w:rPr>
                <w:rFonts w:ascii="Noto Sans CJK SC" w:hAnsi="Noto Sans CJK SC" w:eastAsia="Noto Sans CJK SC"/>
                <w:b w:val="0"/>
                <w:sz w:val="17"/>
              </w:rPr>
              <w:t>全球新能源车龙头、海外市场、技术迭代、成本优势和规模优势</w:t>
            </w:r>
          </w:p>
        </w:tc>
      </w:tr>
      <w:tr>
        <w:tc>
          <w:tcPr>
            <w:tcW w:type="dxa" w:w="1728"/>
            <w:vAlign w:val="center"/>
          </w:tcPr>
          <w:p>
            <w:r/>
            <w:r>
              <w:rPr>
                <w:rFonts w:ascii="Noto Sans CJK SC" w:hAnsi="Noto Sans CJK SC" w:eastAsia="Noto Sans CJK SC"/>
                <w:b w:val="0"/>
                <w:sz w:val="17"/>
              </w:rPr>
              <w:t>看空</w:t>
            </w:r>
          </w:p>
        </w:tc>
        <w:tc>
          <w:tcPr>
            <w:tcW w:type="dxa" w:w="8064"/>
            <w:vAlign w:val="center"/>
          </w:tcPr>
          <w:p>
            <w:r/>
            <w:r>
              <w:rPr>
                <w:rFonts w:ascii="Noto Sans CJK SC" w:hAnsi="Noto Sans CJK SC" w:eastAsia="Noto Sans CJK SC"/>
                <w:b w:val="0"/>
                <w:sz w:val="17"/>
              </w:rPr>
              <w:t>利润率下滑、价格战、2025和2026Q1业绩承压、整车业务估值容错率低</w:t>
            </w:r>
          </w:p>
        </w:tc>
      </w:tr>
    </w:tbl>
    <w:p/>
    <w:p>
      <w:pPr>
        <w:pStyle w:val="Heading1"/>
      </w:pPr>
      <w:r>
        <w:t>六、买入区间：历史估值回归模型</w:t>
      </w:r>
    </w:p>
    <w:p>
      <w:pPr>
        <w:spacing w:after="100"/>
      </w:pPr>
      <w:r>
        <w:rPr>
          <w:rFonts w:ascii="Noto Sans CJK SC" w:hAnsi="Noto Sans CJK SC" w:eastAsia="Noto Sans CJK SC"/>
          <w:sz w:val="20"/>
        </w:rPr>
        <w:t>以2025年EPS约3.58元为基准，静态PE区间反推股价如下。由于比亚迪利润受周期影响较大，不能只看单一年份PE，应结合利润率是否企稳。</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vAlign w:val="center"/>
            <w:shd w:fill="D9EAF7"/>
          </w:tcPr>
          <w:p>
            <w:r/>
            <w:r>
              <w:rPr>
                <w:rFonts w:ascii="Noto Sans CJK SC" w:hAnsi="Noto Sans CJK SC" w:eastAsia="Noto Sans CJK SC"/>
                <w:b/>
                <w:sz w:val="17"/>
              </w:rPr>
              <w:t>PE</w:t>
            </w:r>
          </w:p>
        </w:tc>
        <w:tc>
          <w:tcPr>
            <w:tcW w:type="dxa" w:w="1728"/>
            <w:vAlign w:val="center"/>
            <w:shd w:fill="D9EAF7"/>
          </w:tcPr>
          <w:p>
            <w:r/>
            <w:r>
              <w:rPr>
                <w:rFonts w:ascii="Noto Sans CJK SC" w:hAnsi="Noto Sans CJK SC" w:eastAsia="Noto Sans CJK SC"/>
                <w:b/>
                <w:sz w:val="17"/>
              </w:rPr>
              <w:t>对应股价</w:t>
            </w:r>
          </w:p>
        </w:tc>
        <w:tc>
          <w:tcPr>
            <w:tcW w:type="dxa" w:w="2448"/>
            <w:vAlign w:val="center"/>
            <w:shd w:fill="D9EAF7"/>
          </w:tcPr>
          <w:p>
            <w:r/>
            <w:r>
              <w:rPr>
                <w:rFonts w:ascii="Noto Sans CJK SC" w:hAnsi="Noto Sans CJK SC" w:eastAsia="Noto Sans CJK SC"/>
                <w:b/>
                <w:sz w:val="17"/>
              </w:rPr>
              <w:t>估值状态</w:t>
            </w:r>
          </w:p>
        </w:tc>
        <w:tc>
          <w:tcPr>
            <w:tcW w:type="dxa" w:w="4032"/>
            <w:vAlign w:val="center"/>
            <w:shd w:fill="D9EAF7"/>
          </w:tcPr>
          <w:p>
            <w:r/>
            <w:r>
              <w:rPr>
                <w:rFonts w:ascii="Noto Sans CJK SC" w:hAnsi="Noto Sans CJK SC" w:eastAsia="Noto Sans CJK SC"/>
                <w:b/>
                <w:sz w:val="17"/>
              </w:rPr>
              <w:t>策略</w:t>
            </w:r>
          </w:p>
        </w:tc>
      </w:tr>
      <w:tr>
        <w:tc>
          <w:tcPr>
            <w:tcW w:type="dxa" w:w="1152"/>
            <w:vAlign w:val="center"/>
          </w:tcPr>
          <w:p>
            <w:r/>
            <w:r>
              <w:rPr>
                <w:rFonts w:ascii="Noto Sans CJK SC" w:hAnsi="Noto Sans CJK SC" w:eastAsia="Noto Sans CJK SC"/>
                <w:b w:val="0"/>
                <w:sz w:val="17"/>
              </w:rPr>
              <w:t>15倍</w:t>
            </w:r>
          </w:p>
        </w:tc>
        <w:tc>
          <w:tcPr>
            <w:tcW w:type="dxa" w:w="1728"/>
            <w:vAlign w:val="center"/>
          </w:tcPr>
          <w:p>
            <w:r/>
            <w:r>
              <w:rPr>
                <w:rFonts w:ascii="Noto Sans CJK SC" w:hAnsi="Noto Sans CJK SC" w:eastAsia="Noto Sans CJK SC"/>
                <w:b w:val="0"/>
                <w:sz w:val="17"/>
              </w:rPr>
              <w:t>约53.7元</w:t>
            </w:r>
          </w:p>
        </w:tc>
        <w:tc>
          <w:tcPr>
            <w:tcW w:type="dxa" w:w="2448"/>
            <w:vAlign w:val="center"/>
          </w:tcPr>
          <w:p>
            <w:r/>
            <w:r>
              <w:rPr>
                <w:rFonts w:ascii="Noto Sans CJK SC" w:hAnsi="Noto Sans CJK SC" w:eastAsia="Noto Sans CJK SC"/>
                <w:b w:val="0"/>
                <w:sz w:val="17"/>
              </w:rPr>
              <w:t>深度价值区</w:t>
            </w:r>
          </w:p>
        </w:tc>
        <w:tc>
          <w:tcPr>
            <w:tcW w:type="dxa" w:w="4032"/>
            <w:vAlign w:val="center"/>
          </w:tcPr>
          <w:p>
            <w:r/>
            <w:r>
              <w:rPr>
                <w:rFonts w:ascii="Noto Sans CJK SC" w:hAnsi="Noto Sans CJK SC" w:eastAsia="Noto Sans CJK SC"/>
                <w:b w:val="0"/>
                <w:sz w:val="17"/>
              </w:rPr>
              <w:t>强吸引力</w:t>
            </w:r>
          </w:p>
        </w:tc>
      </w:tr>
      <w:tr>
        <w:tc>
          <w:tcPr>
            <w:tcW w:type="dxa" w:w="1152"/>
            <w:vAlign w:val="center"/>
          </w:tcPr>
          <w:p>
            <w:r/>
            <w:r>
              <w:rPr>
                <w:rFonts w:ascii="Noto Sans CJK SC" w:hAnsi="Noto Sans CJK SC" w:eastAsia="Noto Sans CJK SC"/>
                <w:b w:val="0"/>
                <w:sz w:val="17"/>
              </w:rPr>
              <w:t>20倍</w:t>
            </w:r>
          </w:p>
        </w:tc>
        <w:tc>
          <w:tcPr>
            <w:tcW w:type="dxa" w:w="1728"/>
            <w:vAlign w:val="center"/>
          </w:tcPr>
          <w:p>
            <w:r/>
            <w:r>
              <w:rPr>
                <w:rFonts w:ascii="Noto Sans CJK SC" w:hAnsi="Noto Sans CJK SC" w:eastAsia="Noto Sans CJK SC"/>
                <w:b w:val="0"/>
                <w:sz w:val="17"/>
              </w:rPr>
              <w:t>约71.6元</w:t>
            </w:r>
          </w:p>
        </w:tc>
        <w:tc>
          <w:tcPr>
            <w:tcW w:type="dxa" w:w="2448"/>
            <w:vAlign w:val="center"/>
          </w:tcPr>
          <w:p>
            <w:r/>
            <w:r>
              <w:rPr>
                <w:rFonts w:ascii="Noto Sans CJK SC" w:hAnsi="Noto Sans CJK SC" w:eastAsia="Noto Sans CJK SC"/>
                <w:b w:val="0"/>
                <w:sz w:val="17"/>
              </w:rPr>
              <w:t>合理低估</w:t>
            </w:r>
          </w:p>
        </w:tc>
        <w:tc>
          <w:tcPr>
            <w:tcW w:type="dxa" w:w="4032"/>
            <w:vAlign w:val="center"/>
          </w:tcPr>
          <w:p>
            <w:r/>
            <w:r>
              <w:rPr>
                <w:rFonts w:ascii="Noto Sans CJK SC" w:hAnsi="Noto Sans CJK SC" w:eastAsia="Noto Sans CJK SC"/>
                <w:b w:val="0"/>
                <w:sz w:val="17"/>
              </w:rPr>
              <w:t>可配置</w:t>
            </w:r>
          </w:p>
        </w:tc>
      </w:tr>
      <w:tr>
        <w:tc>
          <w:tcPr>
            <w:tcW w:type="dxa" w:w="1152"/>
            <w:vAlign w:val="center"/>
          </w:tcPr>
          <w:p>
            <w:r/>
            <w:r>
              <w:rPr>
                <w:rFonts w:ascii="Noto Sans CJK SC" w:hAnsi="Noto Sans CJK SC" w:eastAsia="Noto Sans CJK SC"/>
                <w:b w:val="0"/>
                <w:sz w:val="17"/>
              </w:rPr>
              <w:t>25倍</w:t>
            </w:r>
          </w:p>
        </w:tc>
        <w:tc>
          <w:tcPr>
            <w:tcW w:type="dxa" w:w="1728"/>
            <w:vAlign w:val="center"/>
          </w:tcPr>
          <w:p>
            <w:r/>
            <w:r>
              <w:rPr>
                <w:rFonts w:ascii="Noto Sans CJK SC" w:hAnsi="Noto Sans CJK SC" w:eastAsia="Noto Sans CJK SC"/>
                <w:b w:val="0"/>
                <w:sz w:val="17"/>
              </w:rPr>
              <w:t>约89.5元</w:t>
            </w:r>
          </w:p>
        </w:tc>
        <w:tc>
          <w:tcPr>
            <w:tcW w:type="dxa" w:w="2448"/>
            <w:vAlign w:val="center"/>
          </w:tcPr>
          <w:p>
            <w:r/>
            <w:r>
              <w:rPr>
                <w:rFonts w:ascii="Noto Sans CJK SC" w:hAnsi="Noto Sans CJK SC" w:eastAsia="Noto Sans CJK SC"/>
                <w:b w:val="0"/>
                <w:sz w:val="17"/>
              </w:rPr>
              <w:t>合理区</w:t>
            </w:r>
          </w:p>
        </w:tc>
        <w:tc>
          <w:tcPr>
            <w:tcW w:type="dxa" w:w="4032"/>
            <w:vAlign w:val="center"/>
          </w:tcPr>
          <w:p>
            <w:r/>
            <w:r>
              <w:rPr>
                <w:rFonts w:ascii="Noto Sans CJK SC" w:hAnsi="Noto Sans CJK SC" w:eastAsia="Noto Sans CJK SC"/>
                <w:b w:val="0"/>
                <w:sz w:val="17"/>
              </w:rPr>
              <w:t>分批</w:t>
            </w:r>
          </w:p>
        </w:tc>
      </w:tr>
      <w:tr>
        <w:tc>
          <w:tcPr>
            <w:tcW w:type="dxa" w:w="1152"/>
            <w:vAlign w:val="center"/>
          </w:tcPr>
          <w:p>
            <w:r/>
            <w:r>
              <w:rPr>
                <w:rFonts w:ascii="Noto Sans CJK SC" w:hAnsi="Noto Sans CJK SC" w:eastAsia="Noto Sans CJK SC"/>
                <w:b w:val="0"/>
                <w:sz w:val="17"/>
              </w:rPr>
              <w:t>30倍</w:t>
            </w:r>
          </w:p>
        </w:tc>
        <w:tc>
          <w:tcPr>
            <w:tcW w:type="dxa" w:w="1728"/>
            <w:vAlign w:val="center"/>
          </w:tcPr>
          <w:p>
            <w:r/>
            <w:r>
              <w:rPr>
                <w:rFonts w:ascii="Noto Sans CJK SC" w:hAnsi="Noto Sans CJK SC" w:eastAsia="Noto Sans CJK SC"/>
                <w:b w:val="0"/>
                <w:sz w:val="17"/>
              </w:rPr>
              <w:t>约107.4元</w:t>
            </w:r>
          </w:p>
        </w:tc>
        <w:tc>
          <w:tcPr>
            <w:tcW w:type="dxa" w:w="2448"/>
            <w:vAlign w:val="center"/>
          </w:tcPr>
          <w:p>
            <w:r/>
            <w:r>
              <w:rPr>
                <w:rFonts w:ascii="Noto Sans CJK SC" w:hAnsi="Noto Sans CJK SC" w:eastAsia="Noto Sans CJK SC"/>
                <w:b w:val="0"/>
                <w:sz w:val="17"/>
              </w:rPr>
              <w:t>合理偏贵</w:t>
            </w:r>
          </w:p>
        </w:tc>
        <w:tc>
          <w:tcPr>
            <w:tcW w:type="dxa" w:w="4032"/>
            <w:vAlign w:val="center"/>
          </w:tcPr>
          <w:p>
            <w:r/>
            <w:r>
              <w:rPr>
                <w:rFonts w:ascii="Noto Sans CJK SC" w:hAnsi="Noto Sans CJK SC" w:eastAsia="Noto Sans CJK SC"/>
                <w:b w:val="0"/>
                <w:sz w:val="17"/>
              </w:rPr>
              <w:t>谨慎</w:t>
            </w:r>
          </w:p>
        </w:tc>
      </w:tr>
      <w:tr>
        <w:tc>
          <w:tcPr>
            <w:tcW w:type="dxa" w:w="1152"/>
            <w:vAlign w:val="center"/>
          </w:tcPr>
          <w:p>
            <w:r/>
            <w:r>
              <w:rPr>
                <w:rFonts w:ascii="Noto Sans CJK SC" w:hAnsi="Noto Sans CJK SC" w:eastAsia="Noto Sans CJK SC"/>
                <w:b w:val="0"/>
                <w:sz w:val="17"/>
              </w:rPr>
              <w:t>35倍</w:t>
            </w:r>
          </w:p>
        </w:tc>
        <w:tc>
          <w:tcPr>
            <w:tcW w:type="dxa" w:w="1728"/>
            <w:vAlign w:val="center"/>
          </w:tcPr>
          <w:p>
            <w:r/>
            <w:r>
              <w:rPr>
                <w:rFonts w:ascii="Noto Sans CJK SC" w:hAnsi="Noto Sans CJK SC" w:eastAsia="Noto Sans CJK SC"/>
                <w:b w:val="0"/>
                <w:sz w:val="17"/>
              </w:rPr>
              <w:t>约125.3元</w:t>
            </w:r>
          </w:p>
        </w:tc>
        <w:tc>
          <w:tcPr>
            <w:tcW w:type="dxa" w:w="2448"/>
            <w:vAlign w:val="center"/>
          </w:tcPr>
          <w:p>
            <w:r/>
            <w:r>
              <w:rPr>
                <w:rFonts w:ascii="Noto Sans CJK SC" w:hAnsi="Noto Sans CJK SC" w:eastAsia="Noto Sans CJK SC"/>
                <w:b w:val="0"/>
                <w:sz w:val="17"/>
              </w:rPr>
              <w:t>成长预期较满</w:t>
            </w:r>
          </w:p>
        </w:tc>
        <w:tc>
          <w:tcPr>
            <w:tcW w:type="dxa" w:w="4032"/>
            <w:vAlign w:val="center"/>
          </w:tcPr>
          <w:p>
            <w:r/>
            <w:r>
              <w:rPr>
                <w:rFonts w:ascii="Noto Sans CJK SC" w:hAnsi="Noto Sans CJK SC" w:eastAsia="Noto Sans CJK SC"/>
                <w:b w:val="0"/>
                <w:sz w:val="17"/>
              </w:rPr>
              <w:t>不追高</w:t>
            </w:r>
          </w:p>
        </w:tc>
      </w:tr>
    </w:tbl>
    <w:p/>
    <w:p>
      <w:pPr>
        <w:spacing w:before="80" w:after="120"/>
        <w:ind w:left="216" w:right="216"/>
      </w:pPr>
      <w:r>
        <w:rPr>
          <w:rFonts w:ascii="Noto Sans CJK SC" w:hAnsi="Noto Sans CJK SC" w:eastAsia="Noto Sans CJK SC"/>
          <w:i/>
          <w:color w:val="5A5A5A"/>
          <w:sz w:val="18"/>
        </w:rPr>
        <w:t>舒适买入区：70-90元；合理持有区：90-110元；120元以上需要海外增长和利润率修复共同支撑。</w:t>
      </w:r>
    </w:p>
    <w:p>
      <w:r>
        <w:br w:type="page"/>
      </w:r>
    </w:p>
    <w:p>
      <w:pPr>
        <w:pStyle w:val="Heading1"/>
      </w:pPr>
      <w:r>
        <w:t>七、DCF估值模型</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152"/>
            <w:vAlign w:val="center"/>
            <w:shd w:fill="D9EAF7"/>
          </w:tcPr>
          <w:p>
            <w:r/>
            <w:r>
              <w:rPr>
                <w:rFonts w:ascii="Noto Sans CJK SC" w:hAnsi="Noto Sans CJK SC" w:eastAsia="Noto Sans CJK SC"/>
                <w:b/>
                <w:sz w:val="17"/>
              </w:rPr>
              <w:t>情景</w:t>
            </w:r>
          </w:p>
        </w:tc>
        <w:tc>
          <w:tcPr>
            <w:tcW w:type="dxa" w:w="1440"/>
            <w:vAlign w:val="center"/>
            <w:shd w:fill="D9EAF7"/>
          </w:tcPr>
          <w:p>
            <w:r/>
            <w:r>
              <w:rPr>
                <w:rFonts w:ascii="Noto Sans CJK SC" w:hAnsi="Noto Sans CJK SC" w:eastAsia="Noto Sans CJK SC"/>
                <w:b/>
                <w:sz w:val="17"/>
              </w:rPr>
              <w:t>初始利润</w:t>
            </w:r>
          </w:p>
        </w:tc>
        <w:tc>
          <w:tcPr>
            <w:tcW w:type="dxa" w:w="1296"/>
            <w:vAlign w:val="center"/>
            <w:shd w:fill="D9EAF7"/>
          </w:tcPr>
          <w:p>
            <w:r/>
            <w:r>
              <w:rPr>
                <w:rFonts w:ascii="Noto Sans CJK SC" w:hAnsi="Noto Sans CJK SC" w:eastAsia="Noto Sans CJK SC"/>
                <w:b/>
                <w:sz w:val="17"/>
              </w:rPr>
              <w:t>前5年增长</w:t>
            </w:r>
          </w:p>
        </w:tc>
        <w:tc>
          <w:tcPr>
            <w:tcW w:type="dxa" w:w="1584"/>
            <w:vAlign w:val="center"/>
            <w:shd w:fill="D9EAF7"/>
          </w:tcPr>
          <w:p>
            <w:r/>
            <w:r>
              <w:rPr>
                <w:rFonts w:ascii="Noto Sans CJK SC" w:hAnsi="Noto Sans CJK SC" w:eastAsia="Noto Sans CJK SC"/>
                <w:b/>
                <w:sz w:val="17"/>
              </w:rPr>
              <w:t>第6-10年增长</w:t>
            </w:r>
          </w:p>
        </w:tc>
        <w:tc>
          <w:tcPr>
            <w:tcW w:type="dxa" w:w="1152"/>
            <w:vAlign w:val="center"/>
            <w:shd w:fill="D9EAF7"/>
          </w:tcPr>
          <w:p>
            <w:r/>
            <w:r>
              <w:rPr>
                <w:rFonts w:ascii="Noto Sans CJK SC" w:hAnsi="Noto Sans CJK SC" w:eastAsia="Noto Sans CJK SC"/>
                <w:b/>
                <w:sz w:val="17"/>
              </w:rPr>
              <w:t>永续增长</w:t>
            </w:r>
          </w:p>
        </w:tc>
        <w:tc>
          <w:tcPr>
            <w:tcW w:type="dxa" w:w="1152"/>
            <w:vAlign w:val="center"/>
            <w:shd w:fill="D9EAF7"/>
          </w:tcPr>
          <w:p>
            <w:r/>
            <w:r>
              <w:rPr>
                <w:rFonts w:ascii="Noto Sans CJK SC" w:hAnsi="Noto Sans CJK SC" w:eastAsia="Noto Sans CJK SC"/>
                <w:b/>
                <w:sz w:val="17"/>
              </w:rPr>
              <w:t>折现率</w:t>
            </w:r>
          </w:p>
        </w:tc>
        <w:tc>
          <w:tcPr>
            <w:tcW w:type="dxa" w:w="1728"/>
            <w:vAlign w:val="center"/>
            <w:shd w:fill="D9EAF7"/>
          </w:tcPr>
          <w:p>
            <w:r/>
            <w:r>
              <w:rPr>
                <w:rFonts w:ascii="Noto Sans CJK SC" w:hAnsi="Noto Sans CJK SC" w:eastAsia="Noto Sans CJK SC"/>
                <w:b/>
                <w:sz w:val="17"/>
              </w:rPr>
              <w:t>股权价值</w:t>
            </w:r>
          </w:p>
        </w:tc>
        <w:tc>
          <w:tcPr>
            <w:tcW w:type="dxa" w:w="1440"/>
            <w:vAlign w:val="center"/>
            <w:shd w:fill="D9EAF7"/>
          </w:tcPr>
          <w:p>
            <w:r/>
            <w:r>
              <w:rPr>
                <w:rFonts w:ascii="Noto Sans CJK SC" w:hAnsi="Noto Sans CJK SC" w:eastAsia="Noto Sans CJK SC"/>
                <w:b/>
                <w:sz w:val="17"/>
              </w:rPr>
              <w:t>每股价值</w:t>
            </w:r>
          </w:p>
        </w:tc>
      </w:tr>
      <w:tr>
        <w:tc>
          <w:tcPr>
            <w:tcW w:type="dxa" w:w="1152"/>
            <w:vAlign w:val="center"/>
          </w:tcPr>
          <w:p>
            <w:r/>
            <w:r>
              <w:rPr>
                <w:rFonts w:ascii="Noto Sans CJK SC" w:hAnsi="Noto Sans CJK SC" w:eastAsia="Noto Sans CJK SC"/>
                <w:b w:val="0"/>
                <w:sz w:val="17"/>
              </w:rPr>
              <w:t>保守</w:t>
            </w:r>
          </w:p>
        </w:tc>
        <w:tc>
          <w:tcPr>
            <w:tcW w:type="dxa" w:w="1440"/>
            <w:vAlign w:val="center"/>
          </w:tcPr>
          <w:p>
            <w:r/>
            <w:r>
              <w:rPr>
                <w:rFonts w:ascii="Noto Sans CJK SC" w:hAnsi="Noto Sans CJK SC" w:eastAsia="Noto Sans CJK SC"/>
                <w:b w:val="0"/>
                <w:sz w:val="17"/>
              </w:rPr>
              <w:t>326亿元</w:t>
            </w:r>
          </w:p>
        </w:tc>
        <w:tc>
          <w:tcPr>
            <w:tcW w:type="dxa" w:w="1296"/>
            <w:vAlign w:val="center"/>
          </w:tcPr>
          <w:p>
            <w:r/>
            <w:r>
              <w:rPr>
                <w:rFonts w:ascii="Noto Sans CJK SC" w:hAnsi="Noto Sans CJK SC" w:eastAsia="Noto Sans CJK SC"/>
                <w:b w:val="0"/>
                <w:sz w:val="17"/>
              </w:rPr>
              <w:t>3%</w:t>
            </w:r>
          </w:p>
        </w:tc>
        <w:tc>
          <w:tcPr>
            <w:tcW w:type="dxa" w:w="1584"/>
            <w:vAlign w:val="center"/>
          </w:tcPr>
          <w:p>
            <w:r/>
            <w:r>
              <w:rPr>
                <w:rFonts w:ascii="Noto Sans CJK SC" w:hAnsi="Noto Sans CJK SC" w:eastAsia="Noto Sans CJK SC"/>
                <w:b w:val="0"/>
                <w:sz w:val="17"/>
              </w:rPr>
              <w:t>2%</w:t>
            </w:r>
          </w:p>
        </w:tc>
        <w:tc>
          <w:tcPr>
            <w:tcW w:type="dxa" w:w="1152"/>
            <w:vAlign w:val="center"/>
          </w:tcPr>
          <w:p>
            <w:r/>
            <w:r>
              <w:rPr>
                <w:rFonts w:ascii="Noto Sans CJK SC" w:hAnsi="Noto Sans CJK SC" w:eastAsia="Noto Sans CJK SC"/>
                <w:b w:val="0"/>
                <w:sz w:val="17"/>
              </w:rPr>
              <w:t>1%</w:t>
            </w:r>
          </w:p>
        </w:tc>
        <w:tc>
          <w:tcPr>
            <w:tcW w:type="dxa" w:w="1152"/>
            <w:vAlign w:val="center"/>
          </w:tcPr>
          <w:p>
            <w:r/>
            <w:r>
              <w:rPr>
                <w:rFonts w:ascii="Noto Sans CJK SC" w:hAnsi="Noto Sans CJK SC" w:eastAsia="Noto Sans CJK SC"/>
                <w:b w:val="0"/>
                <w:sz w:val="17"/>
              </w:rPr>
              <w:t>11%</w:t>
            </w:r>
          </w:p>
        </w:tc>
        <w:tc>
          <w:tcPr>
            <w:tcW w:type="dxa" w:w="1728"/>
            <w:vAlign w:val="center"/>
          </w:tcPr>
          <w:p>
            <w:r/>
            <w:r>
              <w:rPr>
                <w:rFonts w:ascii="Noto Sans CJK SC" w:hAnsi="Noto Sans CJK SC" w:eastAsia="Noto Sans CJK SC"/>
                <w:b w:val="0"/>
                <w:sz w:val="17"/>
              </w:rPr>
              <w:t>约3670亿元</w:t>
            </w:r>
          </w:p>
        </w:tc>
        <w:tc>
          <w:tcPr>
            <w:tcW w:type="dxa" w:w="1440"/>
            <w:vAlign w:val="center"/>
          </w:tcPr>
          <w:p>
            <w:r/>
            <w:r>
              <w:rPr>
                <w:rFonts w:ascii="Noto Sans CJK SC" w:hAnsi="Noto Sans CJK SC" w:eastAsia="Noto Sans CJK SC"/>
                <w:b w:val="0"/>
                <w:sz w:val="17"/>
              </w:rPr>
              <w:t>约40元</w:t>
            </w:r>
          </w:p>
        </w:tc>
      </w:tr>
      <w:tr>
        <w:tc>
          <w:tcPr>
            <w:tcW w:type="dxa" w:w="1152"/>
            <w:vAlign w:val="center"/>
          </w:tcPr>
          <w:p>
            <w:r/>
            <w:r>
              <w:rPr>
                <w:rFonts w:ascii="Noto Sans CJK SC" w:hAnsi="Noto Sans CJK SC" w:eastAsia="Noto Sans CJK SC"/>
                <w:b w:val="0"/>
                <w:sz w:val="17"/>
              </w:rPr>
              <w:t>中性</w:t>
            </w:r>
          </w:p>
        </w:tc>
        <w:tc>
          <w:tcPr>
            <w:tcW w:type="dxa" w:w="1440"/>
            <w:vAlign w:val="center"/>
          </w:tcPr>
          <w:p>
            <w:r/>
            <w:r>
              <w:rPr>
                <w:rFonts w:ascii="Noto Sans CJK SC" w:hAnsi="Noto Sans CJK SC" w:eastAsia="Noto Sans CJK SC"/>
                <w:b w:val="0"/>
                <w:sz w:val="17"/>
              </w:rPr>
              <w:t>326亿元</w:t>
            </w:r>
          </w:p>
        </w:tc>
        <w:tc>
          <w:tcPr>
            <w:tcW w:type="dxa" w:w="1296"/>
            <w:vAlign w:val="center"/>
          </w:tcPr>
          <w:p>
            <w:r/>
            <w:r>
              <w:rPr>
                <w:rFonts w:ascii="Noto Sans CJK SC" w:hAnsi="Noto Sans CJK SC" w:eastAsia="Noto Sans CJK SC"/>
                <w:b w:val="0"/>
                <w:sz w:val="17"/>
              </w:rPr>
              <w:t>8%</w:t>
            </w:r>
          </w:p>
        </w:tc>
        <w:tc>
          <w:tcPr>
            <w:tcW w:type="dxa" w:w="1584"/>
            <w:vAlign w:val="center"/>
          </w:tcPr>
          <w:p>
            <w:r/>
            <w:r>
              <w:rPr>
                <w:rFonts w:ascii="Noto Sans CJK SC" w:hAnsi="Noto Sans CJK SC" w:eastAsia="Noto Sans CJK SC"/>
                <w:b w:val="0"/>
                <w:sz w:val="17"/>
              </w:rPr>
              <w:t>5%</w:t>
            </w:r>
          </w:p>
        </w:tc>
        <w:tc>
          <w:tcPr>
            <w:tcW w:type="dxa" w:w="1152"/>
            <w:vAlign w:val="center"/>
          </w:tcPr>
          <w:p>
            <w:r/>
            <w:r>
              <w:rPr>
                <w:rFonts w:ascii="Noto Sans CJK SC" w:hAnsi="Noto Sans CJK SC" w:eastAsia="Noto Sans CJK SC"/>
                <w:b w:val="0"/>
                <w:sz w:val="17"/>
              </w:rPr>
              <w:t>2%</w:t>
            </w:r>
          </w:p>
        </w:tc>
        <w:tc>
          <w:tcPr>
            <w:tcW w:type="dxa" w:w="1152"/>
            <w:vAlign w:val="center"/>
          </w:tcPr>
          <w:p>
            <w:r/>
            <w:r>
              <w:rPr>
                <w:rFonts w:ascii="Noto Sans CJK SC" w:hAnsi="Noto Sans CJK SC" w:eastAsia="Noto Sans CJK SC"/>
                <w:b w:val="0"/>
                <w:sz w:val="17"/>
              </w:rPr>
              <w:t>10%</w:t>
            </w:r>
          </w:p>
        </w:tc>
        <w:tc>
          <w:tcPr>
            <w:tcW w:type="dxa" w:w="1728"/>
            <w:vAlign w:val="center"/>
          </w:tcPr>
          <w:p>
            <w:r/>
            <w:r>
              <w:rPr>
                <w:rFonts w:ascii="Noto Sans CJK SC" w:hAnsi="Noto Sans CJK SC" w:eastAsia="Noto Sans CJK SC"/>
                <w:b w:val="0"/>
                <w:sz w:val="17"/>
              </w:rPr>
              <w:t>约5845亿元</w:t>
            </w:r>
          </w:p>
        </w:tc>
        <w:tc>
          <w:tcPr>
            <w:tcW w:type="dxa" w:w="1440"/>
            <w:vAlign w:val="center"/>
          </w:tcPr>
          <w:p>
            <w:r/>
            <w:r>
              <w:rPr>
                <w:rFonts w:ascii="Noto Sans CJK SC" w:hAnsi="Noto Sans CJK SC" w:eastAsia="Noto Sans CJK SC"/>
                <w:b w:val="0"/>
                <w:sz w:val="17"/>
              </w:rPr>
              <w:t>约64元</w:t>
            </w:r>
          </w:p>
        </w:tc>
      </w:tr>
      <w:tr>
        <w:tc>
          <w:tcPr>
            <w:tcW w:type="dxa" w:w="1152"/>
            <w:vAlign w:val="center"/>
          </w:tcPr>
          <w:p>
            <w:r/>
            <w:r>
              <w:rPr>
                <w:rFonts w:ascii="Noto Sans CJK SC" w:hAnsi="Noto Sans CJK SC" w:eastAsia="Noto Sans CJK SC"/>
                <w:b w:val="0"/>
                <w:sz w:val="17"/>
              </w:rPr>
              <w:t>乐观</w:t>
            </w:r>
          </w:p>
        </w:tc>
        <w:tc>
          <w:tcPr>
            <w:tcW w:type="dxa" w:w="1440"/>
            <w:vAlign w:val="center"/>
          </w:tcPr>
          <w:p>
            <w:r/>
            <w:r>
              <w:rPr>
                <w:rFonts w:ascii="Noto Sans CJK SC" w:hAnsi="Noto Sans CJK SC" w:eastAsia="Noto Sans CJK SC"/>
                <w:b w:val="0"/>
                <w:sz w:val="17"/>
              </w:rPr>
              <w:t>326亿元</w:t>
            </w:r>
          </w:p>
        </w:tc>
        <w:tc>
          <w:tcPr>
            <w:tcW w:type="dxa" w:w="1296"/>
            <w:vAlign w:val="center"/>
          </w:tcPr>
          <w:p>
            <w:r/>
            <w:r>
              <w:rPr>
                <w:rFonts w:ascii="Noto Sans CJK SC" w:hAnsi="Noto Sans CJK SC" w:eastAsia="Noto Sans CJK SC"/>
                <w:b w:val="0"/>
                <w:sz w:val="17"/>
              </w:rPr>
              <w:t>12%</w:t>
            </w:r>
          </w:p>
        </w:tc>
        <w:tc>
          <w:tcPr>
            <w:tcW w:type="dxa" w:w="1584"/>
            <w:vAlign w:val="center"/>
          </w:tcPr>
          <w:p>
            <w:r/>
            <w:r>
              <w:rPr>
                <w:rFonts w:ascii="Noto Sans CJK SC" w:hAnsi="Noto Sans CJK SC" w:eastAsia="Noto Sans CJK SC"/>
                <w:b w:val="0"/>
                <w:sz w:val="17"/>
              </w:rPr>
              <w:t>8%</w:t>
            </w:r>
          </w:p>
        </w:tc>
        <w:tc>
          <w:tcPr>
            <w:tcW w:type="dxa" w:w="1152"/>
            <w:vAlign w:val="center"/>
          </w:tcPr>
          <w:p>
            <w:r/>
            <w:r>
              <w:rPr>
                <w:rFonts w:ascii="Noto Sans CJK SC" w:hAnsi="Noto Sans CJK SC" w:eastAsia="Noto Sans CJK SC"/>
                <w:b w:val="0"/>
                <w:sz w:val="17"/>
              </w:rPr>
              <w:t>2.5%</w:t>
            </w:r>
          </w:p>
        </w:tc>
        <w:tc>
          <w:tcPr>
            <w:tcW w:type="dxa" w:w="1152"/>
            <w:vAlign w:val="center"/>
          </w:tcPr>
          <w:p>
            <w:r/>
            <w:r>
              <w:rPr>
                <w:rFonts w:ascii="Noto Sans CJK SC" w:hAnsi="Noto Sans CJK SC" w:eastAsia="Noto Sans CJK SC"/>
                <w:b w:val="0"/>
                <w:sz w:val="17"/>
              </w:rPr>
              <w:t>9.5%</w:t>
            </w:r>
          </w:p>
        </w:tc>
        <w:tc>
          <w:tcPr>
            <w:tcW w:type="dxa" w:w="1728"/>
            <w:vAlign w:val="center"/>
          </w:tcPr>
          <w:p>
            <w:r/>
            <w:r>
              <w:rPr>
                <w:rFonts w:ascii="Noto Sans CJK SC" w:hAnsi="Noto Sans CJK SC" w:eastAsia="Noto Sans CJK SC"/>
                <w:b w:val="0"/>
                <w:sz w:val="17"/>
              </w:rPr>
              <w:t>约8484亿元</w:t>
            </w:r>
          </w:p>
        </w:tc>
        <w:tc>
          <w:tcPr>
            <w:tcW w:type="dxa" w:w="1440"/>
            <w:vAlign w:val="center"/>
          </w:tcPr>
          <w:p>
            <w:r/>
            <w:r>
              <w:rPr>
                <w:rFonts w:ascii="Noto Sans CJK SC" w:hAnsi="Noto Sans CJK SC" w:eastAsia="Noto Sans CJK SC"/>
                <w:b w:val="0"/>
                <w:sz w:val="17"/>
              </w:rPr>
              <w:t>约93元</w:t>
            </w:r>
          </w:p>
        </w:tc>
      </w:tr>
    </w:tbl>
    <w:p/>
    <w:p>
      <w:pPr>
        <w:spacing w:after="100"/>
      </w:pPr>
      <w:r>
        <w:rPr>
          <w:rFonts w:ascii="Noto Sans CJK SC" w:hAnsi="Noto Sans CJK SC" w:eastAsia="Noto Sans CJK SC"/>
          <w:sz w:val="20"/>
        </w:rPr>
        <w:t>DCF结论：若比亚迪只是低速增长，当前估值并不便宜；若海外扩张、高端化和利润率修复兑现，估值可向乐观情景靠拢。</w:t>
      </w:r>
    </w:p>
    <w:p>
      <w:pPr>
        <w:pStyle w:val="Heading1"/>
      </w:pPr>
      <w:r>
        <w:t>八、长期回报测算</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vAlign w:val="center"/>
            <w:shd w:fill="D9EAF7"/>
          </w:tcPr>
          <w:p>
            <w:r/>
            <w:r>
              <w:rPr>
                <w:rFonts w:ascii="Noto Sans CJK SC" w:hAnsi="Noto Sans CJK SC" w:eastAsia="Noto Sans CJK SC"/>
                <w:b/>
                <w:sz w:val="17"/>
              </w:rPr>
              <w:t>情景</w:t>
            </w:r>
          </w:p>
        </w:tc>
        <w:tc>
          <w:tcPr>
            <w:tcW w:type="dxa" w:w="1440"/>
            <w:vAlign w:val="center"/>
            <w:shd w:fill="D9EAF7"/>
          </w:tcPr>
          <w:p>
            <w:r/>
            <w:r>
              <w:rPr>
                <w:rFonts w:ascii="Noto Sans CJK SC" w:hAnsi="Noto Sans CJK SC" w:eastAsia="Noto Sans CJK SC"/>
                <w:b/>
                <w:sz w:val="17"/>
              </w:rPr>
              <w:t>利润增长</w:t>
            </w:r>
          </w:p>
        </w:tc>
        <w:tc>
          <w:tcPr>
            <w:tcW w:type="dxa" w:w="1440"/>
            <w:vAlign w:val="center"/>
            <w:shd w:fill="D9EAF7"/>
          </w:tcPr>
          <w:p>
            <w:r/>
            <w:r>
              <w:rPr>
                <w:rFonts w:ascii="Noto Sans CJK SC" w:hAnsi="Noto Sans CJK SC" w:eastAsia="Noto Sans CJK SC"/>
                <w:b/>
                <w:sz w:val="17"/>
              </w:rPr>
              <w:t>10年后PE</w:t>
            </w:r>
          </w:p>
        </w:tc>
        <w:tc>
          <w:tcPr>
            <w:tcW w:type="dxa" w:w="2016"/>
            <w:vAlign w:val="center"/>
            <w:shd w:fill="D9EAF7"/>
          </w:tcPr>
          <w:p>
            <w:r/>
            <w:r>
              <w:rPr>
                <w:rFonts w:ascii="Noto Sans CJK SC" w:hAnsi="Noto Sans CJK SC" w:eastAsia="Noto Sans CJK SC"/>
                <w:b/>
                <w:sz w:val="17"/>
              </w:rPr>
              <w:t>年化回报预期</w:t>
            </w:r>
          </w:p>
        </w:tc>
        <w:tc>
          <w:tcPr>
            <w:tcW w:type="dxa" w:w="3600"/>
            <w:vAlign w:val="center"/>
            <w:shd w:fill="D9EAF7"/>
          </w:tcPr>
          <w:p>
            <w:r/>
            <w:r>
              <w:rPr>
                <w:rFonts w:ascii="Noto Sans CJK SC" w:hAnsi="Noto Sans CJK SC" w:eastAsia="Noto Sans CJK SC"/>
                <w:b/>
                <w:sz w:val="17"/>
              </w:rPr>
              <w:t>核心假设</w:t>
            </w:r>
          </w:p>
        </w:tc>
      </w:tr>
      <w:tr>
        <w:tc>
          <w:tcPr>
            <w:tcW w:type="dxa" w:w="1296"/>
            <w:vAlign w:val="center"/>
          </w:tcPr>
          <w:p>
            <w:r/>
            <w:r>
              <w:rPr>
                <w:rFonts w:ascii="Noto Sans CJK SC" w:hAnsi="Noto Sans CJK SC" w:eastAsia="Noto Sans CJK SC"/>
                <w:b w:val="0"/>
                <w:sz w:val="17"/>
              </w:rPr>
              <w:t>保守</w:t>
            </w:r>
          </w:p>
        </w:tc>
        <w:tc>
          <w:tcPr>
            <w:tcW w:type="dxa" w:w="1440"/>
            <w:vAlign w:val="center"/>
          </w:tcPr>
          <w:p>
            <w:r/>
            <w:r>
              <w:rPr>
                <w:rFonts w:ascii="Noto Sans CJK SC" w:hAnsi="Noto Sans CJK SC" w:eastAsia="Noto Sans CJK SC"/>
                <w:b w:val="0"/>
                <w:sz w:val="17"/>
              </w:rPr>
              <w:t>3%-5%</w:t>
            </w:r>
          </w:p>
        </w:tc>
        <w:tc>
          <w:tcPr>
            <w:tcW w:type="dxa" w:w="1440"/>
            <w:vAlign w:val="center"/>
          </w:tcPr>
          <w:p>
            <w:r/>
            <w:r>
              <w:rPr>
                <w:rFonts w:ascii="Noto Sans CJK SC" w:hAnsi="Noto Sans CJK SC" w:eastAsia="Noto Sans CJK SC"/>
                <w:b w:val="0"/>
                <w:sz w:val="17"/>
              </w:rPr>
              <w:t>18倍</w:t>
            </w:r>
          </w:p>
        </w:tc>
        <w:tc>
          <w:tcPr>
            <w:tcW w:type="dxa" w:w="2016"/>
            <w:vAlign w:val="center"/>
          </w:tcPr>
          <w:p>
            <w:r/>
            <w:r>
              <w:rPr>
                <w:rFonts w:ascii="Noto Sans CJK SC" w:hAnsi="Noto Sans CJK SC" w:eastAsia="Noto Sans CJK SC"/>
                <w:b w:val="0"/>
                <w:sz w:val="17"/>
              </w:rPr>
              <w:t>较低</w:t>
            </w:r>
          </w:p>
        </w:tc>
        <w:tc>
          <w:tcPr>
            <w:tcW w:type="dxa" w:w="3600"/>
            <w:vAlign w:val="center"/>
          </w:tcPr>
          <w:p>
            <w:r/>
            <w:r>
              <w:rPr>
                <w:rFonts w:ascii="Noto Sans CJK SC" w:hAnsi="Noto Sans CJK SC" w:eastAsia="Noto Sans CJK SC"/>
                <w:b w:val="0"/>
                <w:sz w:val="17"/>
              </w:rPr>
              <w:t>价格战持续，利润率难修复</w:t>
            </w:r>
          </w:p>
        </w:tc>
      </w:tr>
      <w:tr>
        <w:tc>
          <w:tcPr>
            <w:tcW w:type="dxa" w:w="1296"/>
            <w:vAlign w:val="center"/>
          </w:tcPr>
          <w:p>
            <w:r/>
            <w:r>
              <w:rPr>
                <w:rFonts w:ascii="Noto Sans CJK SC" w:hAnsi="Noto Sans CJK SC" w:eastAsia="Noto Sans CJK SC"/>
                <w:b w:val="0"/>
                <w:sz w:val="17"/>
              </w:rPr>
              <w:t>中性</w:t>
            </w:r>
          </w:p>
        </w:tc>
        <w:tc>
          <w:tcPr>
            <w:tcW w:type="dxa" w:w="1440"/>
            <w:vAlign w:val="center"/>
          </w:tcPr>
          <w:p>
            <w:r/>
            <w:r>
              <w:rPr>
                <w:rFonts w:ascii="Noto Sans CJK SC" w:hAnsi="Noto Sans CJK SC" w:eastAsia="Noto Sans CJK SC"/>
                <w:b w:val="0"/>
                <w:sz w:val="17"/>
              </w:rPr>
              <w:t>8%-10%</w:t>
            </w:r>
          </w:p>
        </w:tc>
        <w:tc>
          <w:tcPr>
            <w:tcW w:type="dxa" w:w="1440"/>
            <w:vAlign w:val="center"/>
          </w:tcPr>
          <w:p>
            <w:r/>
            <w:r>
              <w:rPr>
                <w:rFonts w:ascii="Noto Sans CJK SC" w:hAnsi="Noto Sans CJK SC" w:eastAsia="Noto Sans CJK SC"/>
                <w:b w:val="0"/>
                <w:sz w:val="17"/>
              </w:rPr>
              <w:t>22-25倍</w:t>
            </w:r>
          </w:p>
        </w:tc>
        <w:tc>
          <w:tcPr>
            <w:tcW w:type="dxa" w:w="2016"/>
            <w:vAlign w:val="center"/>
          </w:tcPr>
          <w:p>
            <w:r/>
            <w:r>
              <w:rPr>
                <w:rFonts w:ascii="Noto Sans CJK SC" w:hAnsi="Noto Sans CJK SC" w:eastAsia="Noto Sans CJK SC"/>
                <w:b w:val="0"/>
                <w:sz w:val="17"/>
              </w:rPr>
              <w:t>约6%-9%</w:t>
            </w:r>
          </w:p>
        </w:tc>
        <w:tc>
          <w:tcPr>
            <w:tcW w:type="dxa" w:w="3600"/>
            <w:vAlign w:val="center"/>
          </w:tcPr>
          <w:p>
            <w:r/>
            <w:r>
              <w:rPr>
                <w:rFonts w:ascii="Noto Sans CJK SC" w:hAnsi="Noto Sans CJK SC" w:eastAsia="Noto Sans CJK SC"/>
                <w:b w:val="0"/>
                <w:sz w:val="17"/>
              </w:rPr>
              <w:t>海外增长+利润率企稳</w:t>
            </w:r>
          </w:p>
        </w:tc>
      </w:tr>
      <w:tr>
        <w:tc>
          <w:tcPr>
            <w:tcW w:type="dxa" w:w="1296"/>
            <w:vAlign w:val="center"/>
          </w:tcPr>
          <w:p>
            <w:r/>
            <w:r>
              <w:rPr>
                <w:rFonts w:ascii="Noto Sans CJK SC" w:hAnsi="Noto Sans CJK SC" w:eastAsia="Noto Sans CJK SC"/>
                <w:b w:val="0"/>
                <w:sz w:val="17"/>
              </w:rPr>
              <w:t>乐观</w:t>
            </w:r>
          </w:p>
        </w:tc>
        <w:tc>
          <w:tcPr>
            <w:tcW w:type="dxa" w:w="1440"/>
            <w:vAlign w:val="center"/>
          </w:tcPr>
          <w:p>
            <w:r/>
            <w:r>
              <w:rPr>
                <w:rFonts w:ascii="Noto Sans CJK SC" w:hAnsi="Noto Sans CJK SC" w:eastAsia="Noto Sans CJK SC"/>
                <w:b w:val="0"/>
                <w:sz w:val="17"/>
              </w:rPr>
              <w:t>12%+</w:t>
            </w:r>
          </w:p>
        </w:tc>
        <w:tc>
          <w:tcPr>
            <w:tcW w:type="dxa" w:w="1440"/>
            <w:vAlign w:val="center"/>
          </w:tcPr>
          <w:p>
            <w:r/>
            <w:r>
              <w:rPr>
                <w:rFonts w:ascii="Noto Sans CJK SC" w:hAnsi="Noto Sans CJK SC" w:eastAsia="Noto Sans CJK SC"/>
                <w:b w:val="0"/>
                <w:sz w:val="17"/>
              </w:rPr>
              <w:t>28-30倍</w:t>
            </w:r>
          </w:p>
        </w:tc>
        <w:tc>
          <w:tcPr>
            <w:tcW w:type="dxa" w:w="2016"/>
            <w:vAlign w:val="center"/>
          </w:tcPr>
          <w:p>
            <w:r/>
            <w:r>
              <w:rPr>
                <w:rFonts w:ascii="Noto Sans CJK SC" w:hAnsi="Noto Sans CJK SC" w:eastAsia="Noto Sans CJK SC"/>
                <w:b w:val="0"/>
                <w:sz w:val="17"/>
              </w:rPr>
              <w:t>约10%+</w:t>
            </w:r>
          </w:p>
        </w:tc>
        <w:tc>
          <w:tcPr>
            <w:tcW w:type="dxa" w:w="3600"/>
            <w:vAlign w:val="center"/>
          </w:tcPr>
          <w:p>
            <w:r/>
            <w:r>
              <w:rPr>
                <w:rFonts w:ascii="Noto Sans CJK SC" w:hAnsi="Noto Sans CJK SC" w:eastAsia="Noto Sans CJK SC"/>
                <w:b w:val="0"/>
                <w:sz w:val="17"/>
              </w:rPr>
              <w:t>全球化和高端化成功</w:t>
            </w:r>
          </w:p>
        </w:tc>
      </w:tr>
    </w:tbl>
    <w:p/>
    <w:p>
      <w:pPr>
        <w:pStyle w:val="Heading1"/>
      </w:pPr>
      <w:r>
        <w:t>九、最终投资结论</w:t>
      </w:r>
    </w:p>
    <w:p>
      <w:pPr>
        <w:pStyle w:val="ListBullet"/>
        <w:spacing w:after="40"/>
      </w:pPr>
      <w:r>
        <w:rPr>
          <w:rFonts w:ascii="Noto Sans CJK SC" w:hAnsi="Noto Sans CJK SC" w:eastAsia="Noto Sans CJK SC"/>
          <w:sz w:val="20"/>
        </w:rPr>
        <w:t>比亚迪是强公司，但整车属性决定利润波动较大。</w:t>
      </w:r>
    </w:p>
    <w:p>
      <w:pPr>
        <w:pStyle w:val="ListBullet"/>
        <w:spacing w:after="40"/>
      </w:pPr>
      <w:r>
        <w:rPr>
          <w:rFonts w:ascii="Noto Sans CJK SC" w:hAnsi="Noto Sans CJK SC" w:eastAsia="Noto Sans CJK SC"/>
          <w:sz w:val="20"/>
        </w:rPr>
        <w:t>价值投资者应更重视买入价格和利润率拐点，而不是单纯看销量规模。</w:t>
      </w:r>
    </w:p>
    <w:p>
      <w:pPr>
        <w:pStyle w:val="ListBullet"/>
        <w:spacing w:after="40"/>
      </w:pPr>
      <w:r>
        <w:rPr>
          <w:rFonts w:ascii="Noto Sans CJK SC" w:hAnsi="Noto Sans CJK SC" w:eastAsia="Noto Sans CJK SC"/>
          <w:sz w:val="20"/>
        </w:rPr>
        <w:t>适合能承受行业周期和价格战的成长型价值投资者。</w:t>
      </w:r>
    </w:p>
    <w:p>
      <w:pPr>
        <w:pStyle w:val="Heading1"/>
      </w:pPr>
      <w:r>
        <w:t>附录：主要参考资料</w:t>
      </w:r>
    </w:p>
    <w:p>
      <w:pPr>
        <w:pStyle w:val="ListBullet"/>
      </w:pPr>
      <w:r>
        <w:rPr>
          <w:rFonts w:ascii="Noto Sans CJK SC" w:hAnsi="Noto Sans CJK SC" w:eastAsia="Noto Sans CJK SC"/>
          <w:color w:val="505050"/>
          <w:sz w:val="16"/>
        </w:rPr>
        <w:t>新浪财经/公开财报：比亚迪2025年营收8039.65亿元、归母净利润326.19亿元、扣非归母净利润等数据。</w:t>
      </w:r>
    </w:p>
    <w:p>
      <w:pPr>
        <w:pStyle w:val="ListBullet"/>
      </w:pPr>
      <w:r>
        <w:rPr>
          <w:rFonts w:ascii="Noto Sans CJK SC" w:hAnsi="Noto Sans CJK SC" w:eastAsia="Noto Sans CJK SC"/>
          <w:color w:val="505050"/>
          <w:sz w:val="16"/>
        </w:rPr>
        <w:t>巨潮资讯：比亚迪2025年年度报告及利润分配方案。</w:t>
      </w:r>
    </w:p>
    <w:p>
      <w:pPr>
        <w:pStyle w:val="ListBullet"/>
      </w:pPr>
      <w:r>
        <w:rPr>
          <w:rFonts w:ascii="Noto Sans CJK SC" w:hAnsi="Noto Sans CJK SC" w:eastAsia="Noto Sans CJK SC"/>
          <w:color w:val="505050"/>
          <w:sz w:val="16"/>
        </w:rPr>
        <w:t>路透社/腾讯新闻：比亚迪2026年一季度利润下滑与行业竞争情况。</w:t>
      </w:r>
    </w:p>
    <w:p>
      <w:pPr>
        <w:pStyle w:val="ListBullet"/>
      </w:pPr>
      <w:r>
        <w:rPr>
          <w:rFonts w:ascii="Noto Sans CJK SC" w:hAnsi="Noto Sans CJK SC" w:eastAsia="Noto Sans CJK SC"/>
          <w:color w:val="505050"/>
          <w:sz w:val="16"/>
        </w:rPr>
        <w:t>理杏仁：比亚迪估值、市盈率和行业估值数据。</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787878"/>
        <w:sz w:val="16"/>
      </w:rPr>
      <w:t>仅供投资研究参考，不构成投资建议</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