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长江电力（600900）深度价值投资分析报告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2"/>
        </w:rPr>
        <w:t>水电现金流 / 高分红 / 类债券权益资产</w:t>
      </w:r>
    </w:p>
    <w:p>
      <w:pPr>
        <w:spacing w:before="80" w:after="120"/>
        <w:ind w:left="216" w:right="216"/>
      </w:pPr>
      <w:r>
        <w:rPr>
          <w:rFonts w:ascii="Noto Sans CJK SC" w:hAnsi="Noto Sans CJK SC" w:eastAsia="Noto Sans CJK SC"/>
          <w:i/>
          <w:color w:val="5A5A5A"/>
          <w:sz w:val="18"/>
        </w:rPr>
        <w:t>说明：本报告基于截至2026年5月初公开资料与估算模型整理。估值模型对假设极为敏感，结论仅用于研究讨论，不构成任何买卖建议。</w:t>
      </w:r>
    </w:p>
    <w:p>
      <w:pPr>
        <w:pStyle w:val="Heading1"/>
      </w:pPr>
      <w:r>
        <w:t>一、核心结论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长江电力是四家公司中最接近传统价值投资逻辑的标的：水电资产稀缺、成本低、现金流稳定、分红政策明确。它不是高成长股，而是长期收息型资产。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优势：长江干流水电资源不可复制，边际发电成本低，现金流可预测。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投资核心：买的是稳定现金流和长期分红，而不是高增长。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风险：当前估值不算便宜，股息率已被市场压低；来水、电价和利率变化影响估值。</w:t>
      </w:r>
    </w:p>
    <w:p>
      <w:pPr>
        <w:pStyle w:val="Heading1"/>
      </w:pPr>
      <w:r>
        <w:t>二、近年财务情况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指标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2025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价值投资解读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营业收入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862.42亿元，同比增长2.07%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低增长但稳定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归母净利润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345.03亿元，同比增长6.17%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盈利稳定提升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扣非归母净利润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334.46亿元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主业利润扎实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每股收益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1.4101元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为分红提供基础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总发电量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3097.35亿千瓦时，同比增长3.97%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来水改善带动增长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现金分红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每10股派10元，合计244.68亿元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分红比例约71%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装机容量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7179.5万千瓦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全球水电龙头级资产平台</w:t>
            </w:r>
          </w:p>
        </w:tc>
      </w:tr>
    </w:tbl>
    <w:p/>
    <w:p>
      <w:pPr>
        <w:spacing w:after="100"/>
      </w:pPr>
      <w:r>
        <w:rPr>
          <w:rFonts w:ascii="Noto Sans CJK SC" w:hAnsi="Noto Sans CJK SC" w:eastAsia="Noto Sans CJK SC"/>
          <w:sz w:val="20"/>
        </w:rPr>
        <w:t>公司规划2026-2030年每年现金分红不低于当年归母净利润的70%。这使长江电力非常适合用股息贴现模型和类债券资产逻辑进行估值。</w:t>
      </w:r>
    </w:p>
    <w:p>
      <w:pPr>
        <w:pStyle w:val="Heading1"/>
      </w:pPr>
      <w:r>
        <w:t>三、企业经营情况</w:t>
      </w:r>
    </w:p>
    <w:p>
      <w:pPr>
        <w:pStyle w:val="Heading2"/>
      </w:pPr>
      <w:r>
        <w:t>1. 水电资产是核心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公司拥有三峡、葛洲坝、溪洛渡、向家坝、乌东德、白鹤滩等核心水电资产，资产寿命长、维护成本相对稳定、边际发电成本低。</w:t>
      </w:r>
    </w:p>
    <w:p>
      <w:pPr>
        <w:pStyle w:val="Heading2"/>
      </w:pPr>
      <w:r>
        <w:t>2. 经营波动因素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来水丰枯影响发电量。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电价政策影响收入弹性。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大型资产注入或资本开支影响负债和折旧。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市场利率变化影响红利资产估值中枢。</w:t>
      </w:r>
    </w:p>
    <w:p>
      <w:pPr>
        <w:pStyle w:val="Heading2"/>
      </w:pPr>
      <w:r>
        <w:t>3. 现金流属性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长江电力的商业模式更像基础设施现金流资产：资本开支完成后，水电站长期产生稳定自由现金流，并通过高比例分红回馈股东。</w:t>
      </w:r>
    </w:p>
    <w:p>
      <w:pPr>
        <w:pStyle w:val="Heading1"/>
      </w:pPr>
      <w:r>
        <w:t>四、行业地位与护城河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护城河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强度</w:t>
            </w:r>
          </w:p>
        </w:tc>
        <w:tc>
          <w:tcPr>
            <w:tcW w:type="dxa" w:w="662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资源稀缺性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★★★★★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长江干流水电资产不可复制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成本优势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★★★★★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水电边际成本极低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现金流稳定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★★★★★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发电需求稳定，收入可预测性高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分红确定性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★★★★★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未来多年分红比例规划清晰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成长性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★★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装机扩张空间有限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政策约束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★★★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电价机制受政策影响</w:t>
            </w:r>
          </w:p>
        </w:tc>
      </w:tr>
    </w:tbl>
    <w:p/>
    <w:p>
      <w:pPr>
        <w:pStyle w:val="Heading1"/>
      </w:pPr>
      <w:r>
        <w:t>五、市场声音与股价估值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截至2026年5月初，长江电力股价约27元左右，市盈率约20倍，股息率约3.5%。市场已经给了其稳定性较高溢价，估值并不便宜。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市场观点</w:t>
            </w:r>
          </w:p>
        </w:tc>
        <w:tc>
          <w:tcPr>
            <w:tcW w:type="dxa" w:w="80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主要逻辑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看多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稳定高分红、水电资产稀缺、利率下行受益、防御属性强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看空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成长有限、股息率下降、估值偏高、来水和电价波动</w:t>
            </w:r>
          </w:p>
        </w:tc>
      </w:tr>
    </w:tbl>
    <w:p/>
    <w:p>
      <w:pPr>
        <w:pStyle w:val="Heading1"/>
      </w:pPr>
      <w:r>
        <w:t>六、买入区间：股息率与PE双模型</w:t>
      </w:r>
    </w:p>
    <w:p>
      <w:pPr>
        <w:pStyle w:val="Heading2"/>
      </w:pPr>
      <w:r>
        <w:t>1. 股息率反推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目标股息率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对应股价</w:t>
            </w:r>
          </w:p>
        </w:tc>
        <w:tc>
          <w:tcPr>
            <w:tcW w:type="dxa" w:w="547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估值状态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5.0%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20.0元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深度价值区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4.5%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22.2元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安全边际较高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4.0%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25.0元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合理买入区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3.5%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28.6元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合理偏贵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3.0%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33.3元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偏贵</w:t>
            </w:r>
          </w:p>
        </w:tc>
      </w:tr>
    </w:tbl>
    <w:p/>
    <w:p>
      <w:pPr>
        <w:pStyle w:val="Heading2"/>
      </w:pPr>
      <w:r>
        <w:t>2. PE反推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PE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对应股价</w:t>
            </w:r>
          </w:p>
        </w:tc>
        <w:tc>
          <w:tcPr>
            <w:tcW w:type="dxa" w:w="604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状态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14倍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19.7元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低估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16倍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22.6元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合理偏低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18倍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25.4元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合理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20倍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28.2元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合理偏贵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22倍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31.0元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偏贵</w:t>
            </w:r>
          </w:p>
        </w:tc>
      </w:tr>
    </w:tbl>
    <w:p/>
    <w:p>
      <w:pPr>
        <w:spacing w:before="80" w:after="120"/>
        <w:ind w:left="216" w:right="216"/>
      </w:pPr>
      <w:r>
        <w:rPr>
          <w:rFonts w:ascii="Noto Sans CJK SC" w:hAnsi="Noto Sans CJK SC" w:eastAsia="Noto Sans CJK SC"/>
          <w:i/>
          <w:color w:val="5A5A5A"/>
          <w:sz w:val="18"/>
        </w:rPr>
        <w:t>舒适买入区：22-25元；合理持有区：25-28元；30元以上需要利率继续下行或市场给更高红利溢价。</w:t>
      </w:r>
    </w:p>
    <w:p>
      <w:pPr>
        <w:pStyle w:val="Heading1"/>
      </w:pPr>
      <w:r>
        <w:t>七、DDM/DCF估值模型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情景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初始利润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前5年增长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第6-10年增长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永续增长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折现率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股权价值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每股价值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保守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345亿元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0%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0%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7.5%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约4600亿元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约18.8元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中性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345亿元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2%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1%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7.0%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约6558亿元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约26.8元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乐观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345亿元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3%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1.5%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6.5%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约8257亿元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约33.7元</w:t>
            </w:r>
          </w:p>
        </w:tc>
      </w:tr>
    </w:tbl>
    <w:p/>
    <w:p>
      <w:pPr>
        <w:spacing w:after="100"/>
      </w:pPr>
      <w:r>
        <w:rPr>
          <w:rFonts w:ascii="Noto Sans CJK SC" w:hAnsi="Noto Sans CJK SC" w:eastAsia="Noto Sans CJK SC"/>
          <w:sz w:val="20"/>
        </w:rPr>
        <w:t>估值结论：当前价格基本贴近中性估值。长江电力适合长期持有和逢低配置，但不适合在红利资产热度高时大幅追高。</w:t>
      </w:r>
    </w:p>
    <w:p>
      <w:pPr>
        <w:pStyle w:val="Heading1"/>
      </w:pPr>
      <w:r>
        <w:t>八、股息复利回报测算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情景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股息增长</w:t>
            </w:r>
          </w:p>
        </w:tc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10年后股息率估值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年化回报</w:t>
            </w:r>
          </w:p>
        </w:tc>
        <w:tc>
          <w:tcPr>
            <w:tcW w:type="dxa" w:w="374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含义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保守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0%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4.0%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约4%-5%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主要依赖分红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中性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2%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3.8%-4.0%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约6%-7%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分红+小幅增长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乐观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3%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3.5%-3.8%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约7%-8%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利率环境友好，估值维持</w:t>
            </w:r>
          </w:p>
        </w:tc>
      </w:tr>
    </w:tbl>
    <w:p/>
    <w:p>
      <w:pPr>
        <w:pStyle w:val="Heading1"/>
      </w:pPr>
      <w:r>
        <w:t>九、最终投资结论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长江电力是高确定性价值资产，适合做组合底仓。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核心买点是股息率回到4%以上，或者股价回到22-25元区间。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若持有目标是稳定分红，当前价位仍可持有；若追求高安全边际，应等待回调。</w:t>
      </w:r>
    </w:p>
    <w:p>
      <w:pPr>
        <w:pStyle w:val="Heading1"/>
      </w:pPr>
      <w:r>
        <w:t>附录：主要参考资料</w:t>
      </w:r>
    </w:p>
    <w:p>
      <w:pPr>
        <w:pStyle w:val="ListBullet"/>
      </w:pPr>
      <w:r>
        <w:rPr>
          <w:rFonts w:ascii="Noto Sans CJK SC" w:hAnsi="Noto Sans CJK SC" w:eastAsia="Noto Sans CJK SC"/>
          <w:color w:val="505050"/>
          <w:sz w:val="16"/>
        </w:rPr>
        <w:t>长江电力2025年年度报告：营业收入、归母净利润、发电量、分红方案等。</w:t>
      </w:r>
    </w:p>
    <w:p>
      <w:pPr>
        <w:pStyle w:val="ListBullet"/>
      </w:pPr>
      <w:r>
        <w:rPr>
          <w:rFonts w:ascii="Noto Sans CJK SC" w:hAnsi="Noto Sans CJK SC" w:eastAsia="Noto Sans CJK SC"/>
          <w:color w:val="505050"/>
          <w:sz w:val="16"/>
        </w:rPr>
        <w:t>东方财富PDF研报/年报点评：2026-2030年分红规划、装机容量和盈利数据。</w:t>
      </w:r>
    </w:p>
    <w:p>
      <w:pPr>
        <w:pStyle w:val="ListBullet"/>
      </w:pPr>
      <w:r>
        <w:rPr>
          <w:rFonts w:ascii="Noto Sans CJK SC" w:hAnsi="Noto Sans CJK SC" w:eastAsia="Noto Sans CJK SC"/>
          <w:color w:val="505050"/>
          <w:sz w:val="16"/>
        </w:rPr>
        <w:t>Investing.com：长江电力市值、市盈率和股息收益率等市场估值数据。</w:t>
      </w:r>
    </w:p>
    <w:sectPr w:rsidR="00FC693F" w:rsidRPr="0006063C" w:rsidSect="00034616">
      <w:footerReference w:type="default" r:id="rId9"/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仅供投资研究参考，不构成投资建议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