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中国神华（601088.SH / 01088.HK）</w:t>
        <w:br/>
        <w:t>深度价值投资分析报告</w:t>
      </w:r>
    </w:p>
    <w:p>
      <w:pPr>
        <w:spacing w:line="276" w:lineRule="auto" w:after="120"/>
        <w:jc w:val="center"/>
      </w:pPr>
      <w:r>
        <w:rPr>
          <w:rFonts w:ascii="Noto Sans CJK SC" w:hAnsi="Noto Sans CJK SC" w:eastAsia="Noto Sans CJK SC"/>
          <w:color w:val="595959"/>
          <w:sz w:val="20"/>
        </w:rPr>
        <w:t>近10年财务复盘 | 经营与行业地位 | 市场声音 | 股价与估值 | 买入区间 | 同业对比 | DCF与股息复利模型</w:t>
      </w:r>
    </w:p>
    <w:p>
      <w:pPr>
        <w:spacing w:line="276" w:lineRule="auto" w:after="120"/>
        <w:jc w:val="center"/>
      </w:pPr>
      <w:r>
        <w:rPr>
          <w:rFonts w:ascii="Noto Sans CJK SC" w:hAnsi="Noto Sans CJK SC" w:eastAsia="Noto Sans CJK SC"/>
        </w:rPr>
        <w:t>数据基准日：2026年5月5日；金额口径除特别说明外为人民币。本文为研究分析材料，不构成任何买卖建议。</w:t>
      </w:r>
    </w:p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一、核心结论（价值投资视角）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  <w:b/>
        </w:rPr>
        <w:t>公司本质：</w:t>
      </w:r>
      <w:r>
        <w:rPr>
          <w:rFonts w:ascii="Noto Sans CJK SC" w:hAnsi="Noto Sans CJK SC" w:eastAsia="Noto Sans CJK SC"/>
        </w:rPr>
        <w:t>中国神华不是普通煤炭周期股，而是“煤炭资源 + 自有铁路港口运输 + 电力消纳 + 高分红”的综合能源现金流平台。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  <w:b/>
        </w:rPr>
        <w:t>价值主线：</w:t>
      </w:r>
      <w:r>
        <w:rPr>
          <w:rFonts w:ascii="Noto Sans CJK SC" w:hAnsi="Noto Sans CJK SC" w:eastAsia="Noto Sans CJK SC"/>
        </w:rPr>
        <w:t>近10年盈利中枢高、现金流强、分红稳定，投资回报主要来自股息与估值重估，而非高速成长。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  <w:b/>
        </w:rPr>
        <w:t>当前状态：</w:t>
      </w:r>
      <w:r>
        <w:rPr>
          <w:rFonts w:ascii="Noto Sans CJK SC" w:hAnsi="Noto Sans CJK SC" w:eastAsia="Noto Sans CJK SC"/>
        </w:rPr>
        <w:t>截至2026年4月下旬，A股价格约47元附近，静态股息率约4.5%，估值处在历史偏高区域；H股因折价和较高股息率相对更有性价比。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  <w:b/>
        </w:rPr>
        <w:t>买入原则：</w:t>
      </w:r>
      <w:r>
        <w:rPr>
          <w:rFonts w:ascii="Noto Sans CJK SC" w:hAnsi="Noto Sans CJK SC" w:eastAsia="Noto Sans CJK SC"/>
        </w:rPr>
        <w:t>以股息率和归母净利润中枢倒推安全边际：股息率&gt;=6%为优秀配置区，5%-6%为分批区，&lt;=4.5%偏贵。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  <w:b/>
        </w:rPr>
        <w:t>主要风险：</w:t>
      </w:r>
      <w:r>
        <w:rPr>
          <w:rFonts w:ascii="Noto Sans CJK SC" w:hAnsi="Noto Sans CJK SC" w:eastAsia="Noto Sans CJK SC"/>
        </w:rPr>
        <w:t>煤价长期下行、煤电需求被新能源替代、资产注入摊薄/整合不及预期、安全生产与政策监管、分红率下降。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结论维度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价值投资含义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盈利质量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高且具备周期韧性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可用“正常化利润”估值，而不只看单年煤价高点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现金流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经营现金流长期强于净利润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支持长期高分红，是安全边际来源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成长性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内生增长有限，外延资产注入带来增厚可能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不是高成长股，适合红利/防御配置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估值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A股2026年春季处于偏高区间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需要等待股息率或PE回到更有吸引力位置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投资定位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核心红利资产、类公用事业化煤炭龙头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适合长期收息和组合压舱，不适合追涨博弈</w:t>
            </w:r>
          </w:p>
        </w:tc>
      </w:tr>
    </w:tbl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二、近10年财务复盘（2016-2025）</w:t>
      </w:r>
    </w:p>
    <w:p>
      <w:pPr>
        <w:spacing w:line="276" w:lineRule="auto" w:after="120"/>
      </w:pPr>
      <w:r>
        <w:rPr>
          <w:rFonts w:ascii="Noto Sans CJK SC" w:hAnsi="Noto Sans CJK SC" w:eastAsia="Noto Sans CJK SC"/>
        </w:rPr>
        <w:t>中国神华的财务特征可以概括为：收入受煤价与贸易煤规模影响波动较大，但归母净利润和经营现金流明显强于多数煤炭同业。2021-2022年为煤炭景气上行期，2023-2025年煤价回落后利润下行，但公司仍维持500亿元以上归母净利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营业收入(亿元)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归母净利润(亿元)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经营现金流(亿元)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ROE(约)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每股分红(元)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183.1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67.2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10.9%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2.97</w:t>
            </w:r>
          </w:p>
        </w:tc>
      </w:tr>
      <w:tr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2017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248.7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45.0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88.6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18.2%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0.91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2018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264.1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43.9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86.5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16.2%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0.88</w:t>
            </w:r>
          </w:p>
        </w:tc>
      </w:tr>
      <w:tr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2019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241.9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43.2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63.1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14.4%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233.3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39.2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81.2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12.6%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1.81</w:t>
            </w:r>
          </w:p>
        </w:tc>
      </w:tr>
      <w:tr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2021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335.2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50.3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89.0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14.7%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2.54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344.5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69.6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109.7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18.1%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2.55</w:t>
            </w:r>
          </w:p>
        </w:tc>
      </w:tr>
      <w:tr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2023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343.1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59.7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89.7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14.6%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338.4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58.7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110.0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13.7%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2.26</w:t>
            </w:r>
          </w:p>
        </w:tc>
      </w:tr>
      <w:tr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2025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294.9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52.9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75.1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12.2%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2.11</w:t>
            </w:r>
          </w:p>
        </w:tc>
      </w:tr>
    </w:tbl>
    <w:p>
      <w:pPr>
        <w:spacing w:line="276" w:lineRule="auto" w:after="120"/>
      </w:pPr>
      <w:r>
        <w:rPr>
          <w:rFonts w:ascii="Noto Sans CJK SC" w:hAnsi="Noto Sans CJK SC" w:eastAsia="Noto Sans CJK SC"/>
        </w:rPr>
        <w:t>注：2016-2022为历史年报口径整理，2023-2025结合公司年报及公开年报点评口径；部分历史指标因会计口径调整与披露格式差异采用四舍五入，重点用于趋势分析。</w:t>
      </w:r>
    </w:p>
    <w:p>
      <w:pPr>
        <w:spacing w:line="276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035040" cy="3379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035040" cy="3379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dend_d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96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财报/市场含义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价值投资解读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2016-2020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煤价周期波动，利润中枢约250-450亿元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资产质量经受低景气验证，现金流仍可覆盖分红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2021-2022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煤炭高景气，2022归母净利润约696亿元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高景气利润不可线性外推，应做正常化处理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收入约3431亿元，归母净利润约597亿元，同比降约14%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煤价回落后仍保持高盈利，显示长协与一体化优势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2024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收入约3384亿元，归母净利润约587亿元，同比小幅下降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周期下行中的盈利韧性较强，分红维持2.26元/股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收入2949亿元、归母净利润528亿元，同比降幅小于收入降幅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利润下行但现金流和分红仍支撑红利资产逻辑</w:t>
            </w:r>
          </w:p>
        </w:tc>
      </w:tr>
    </w:tbl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三、经营情况与护城河</w:t>
      </w:r>
    </w:p>
    <w:p>
      <w:pPr>
        <w:pStyle w:val="Heading2"/>
        <w:spacing w:line="276" w:lineRule="auto" w:after="120"/>
      </w:pPr>
      <w:r>
        <w:rPr>
          <w:rFonts w:ascii="Noto Sans CJK SC" w:hAnsi="Noto Sans CJK SC" w:eastAsia="Noto Sans CJK SC"/>
        </w:rPr>
        <w:t>3.1 一体化经营结构</w:t>
      </w:r>
    </w:p>
    <w:p>
      <w:pPr>
        <w:spacing w:line="276" w:lineRule="auto" w:after="120"/>
      </w:pPr>
      <w:r>
        <w:rPr>
          <w:rFonts w:ascii="Noto Sans CJK SC" w:hAnsi="Noto Sans CJK SC" w:eastAsia="Noto Sans CJK SC"/>
        </w:rPr>
        <w:t>公司形成“煤 - 电 - 路 - 港 - 航 - 化”一体化体系。其价值不只是拥有煤矿，更在于运输通道、港口装卸、发电消纳与长协销售共同降低了利润波动。煤价下行时，电力和运输业务提供一定对冲；煤价上行时，自产煤利润弹性体现。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业务板块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经营特征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护城河/价值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自产煤规模大，长协比例高，成本优势突出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利润核心来源，资源禀赋构成长期壁垒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电力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坑口电厂和煤电联营，装机持续扩容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消纳自有煤、平滑煤价波动，提升公用事业属性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铁路/港口/航运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自有运输网络连接矿区与下游市场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降低物流成本，提高供应可靠性，复制难度高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煤化工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周期性较强，但可增强煤炭转化能力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提供业务延展，短期不是估值核心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资产注入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2025年披露向集团收购煤炭、煤电、煤化工等资产方案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若整合顺利，有助扩大资产和利润底盘，但需关注摊薄与并表节奏</w:t>
            </w:r>
          </w:p>
        </w:tc>
      </w:tr>
    </w:tbl>
    <w:p>
      <w:pPr>
        <w:pStyle w:val="Heading2"/>
        <w:spacing w:line="276" w:lineRule="auto" w:after="120"/>
      </w:pPr>
      <w:r>
        <w:rPr>
          <w:rFonts w:ascii="Noto Sans CJK SC" w:hAnsi="Noto Sans CJK SC" w:eastAsia="Noto Sans CJK SC"/>
        </w:rPr>
        <w:t>3.2 经营质量判断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成本优势：自产煤单位成本较低，且自有运输网络降低外部物流依赖，是公司长期高ROE的基础。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现金转化：经营现金流长期较强，2023-2025即使煤价回落仍保持较高现金创造能力。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分红纪律：公司连续多年维持高比例现金分红，2025年预计分红总额约418亿元，分红率约79%。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央企平台属性：作为国家能源集团核心上市平台，资产质量、融资能力和资源获取能力优于多数民营或地方煤企。</w:t>
      </w:r>
    </w:p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四、行业地位与行业趋势</w:t>
      </w:r>
    </w:p>
    <w:p>
      <w:pPr>
        <w:spacing w:line="276" w:lineRule="auto" w:after="120"/>
      </w:pPr>
      <w:r>
        <w:rPr>
          <w:rFonts w:ascii="Noto Sans CJK SC" w:hAnsi="Noto Sans CJK SC" w:eastAsia="Noto Sans CJK SC"/>
        </w:rPr>
        <w:t>中国神华是国内煤炭上市公司中综合实力最强的龙头之一。行业层面，煤炭仍承担中国电力安全和能源安全的基础角色，但新能源装机快速提升、电力市场化和碳约束将压制长期估值上限。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行业变量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近几年变化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对中国神华影响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煤炭供需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2023-2025煤价整体从高位回落，供给释放，需求增速放缓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短期压缩煤炭业务毛利，但龙头抗压优于行业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电力结构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新能源占比提高，但煤电仍是调峰和保供基础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煤电一体化提升稳定性，但长期增长空间有限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红利资产偏好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低利率和资产荒推动高股息央企估值重估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神华股价2023年以来表现强，估值中枢上移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行业集中度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优质煤炭资源向大型集团集中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神华资源和运输壁垒更突出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ESG/碳中和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传统煤炭资产长期面临估值折价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估值难以像消费/科技成长股一样扩张</w:t>
            </w:r>
          </w:p>
        </w:tc>
      </w:tr>
    </w:tbl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五、市场声音与股价情况</w:t>
      </w:r>
    </w:p>
    <w:p>
      <w:pPr>
        <w:pStyle w:val="Heading2"/>
        <w:spacing w:line="276" w:lineRule="auto" w:after="120"/>
      </w:pPr>
      <w:r>
        <w:rPr>
          <w:rFonts w:ascii="Noto Sans CJK SC" w:hAnsi="Noto Sans CJK SC" w:eastAsia="Noto Sans CJK SC"/>
        </w:rPr>
        <w:t>5.1 市场主流观点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观点类别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典型市场声音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我们的判断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看多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“红利资产核心标的”“类永续债”“高分红央企”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成立，但前提是分红率持续、买入价格不能过高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中性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“周期股公用事业化，估值中枢提高”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较合理。神华抗周期性强于同业，但煤价仍影响利润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看空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“煤炭需求见顶”“新能源替代”“A股估值已贵”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需重视。估值越高，对分红稳定性的要求越高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H股偏好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“H股折价较大，股息率更高”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对追求绝对股息收益的投资者，H股性价比往往优于A股</w:t>
            </w:r>
          </w:p>
        </w:tc>
      </w:tr>
    </w:tbl>
    <w:p>
      <w:pPr>
        <w:pStyle w:val="Heading2"/>
        <w:spacing w:line="276" w:lineRule="auto" w:after="120"/>
      </w:pPr>
      <w:r>
        <w:rPr>
          <w:rFonts w:ascii="Noto Sans CJK SC" w:hAnsi="Noto Sans CJK SC" w:eastAsia="Noto Sans CJK SC"/>
        </w:rPr>
        <w:t>5.2 股价复盘与当前估值</w:t>
      </w:r>
    </w:p>
    <w:p>
      <w:pPr>
        <w:spacing w:line="276" w:lineRule="auto" w:after="120"/>
      </w:pPr>
      <w:r>
        <w:rPr>
          <w:rFonts w:ascii="Noto Sans CJK SC" w:hAnsi="Noto Sans CJK SC" w:eastAsia="Noto Sans CJK SC"/>
        </w:rPr>
        <w:t>2019-2023年中国神华A股连续上涨，2024-2026年在高股息资产重估、煤价预期和资产注入预期推动下继续处于高位。公开行情数据显示，2026年4月A股在45-48元区间震荡，一年内高点约50元；这意味着以2025年EPS约2.66元计算，静态PE接近18倍，明显高于传统煤炭股常见估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估值口径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测算/观察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2025 EPS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528.49亿元归母净利润 / 198.69亿股 ≈ 2.66元/股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以正常化利润看，当前A股估值不便宜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A股价格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2026年4月下旬约47元附近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静态PE约17-18倍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2025总分红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约2.11元/股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47元价格对应股息率约4.5%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H股股息率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2026年4月下旬公开数据约4.4%-4.9%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港股折价使收息属性更强，但需考虑汇率与港股流动性</w:t>
            </w:r>
          </w:p>
        </w:tc>
      </w:tr>
    </w:tbl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六、买入区间：历史估值回归 + 股息率双锚模型</w:t>
      </w:r>
    </w:p>
    <w:p>
      <w:pPr>
        <w:spacing w:line="276" w:lineRule="auto" w:after="120"/>
      </w:pPr>
      <w:r>
        <w:rPr>
          <w:rFonts w:ascii="Noto Sans CJK SC" w:hAnsi="Noto Sans CJK SC" w:eastAsia="Noto Sans CJK SC"/>
        </w:rPr>
        <w:t>对中国神华这类高股息周期龙头，不宜只用单一PE，也不宜只看股息率。较稳妥的方法是：用“正常化利润PE”判断资产贵不贵，用“股息率”判断买入后的现金回报是否足够。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PE锚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对应股价(元/股，按2025 EPS 2.66)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估值含义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29.3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安全区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34.6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合理区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39.9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偏贵区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18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47.9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高估/需极强红利逻辑支撑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目标股息率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对应股价(元/股，按DPS 2.11)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操作建议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6.0%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35.2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强吸引力/重视配置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5.5%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38.4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较有吸引力/分批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5.0%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42.2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较有吸引力/分批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4.5%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46.9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偏贵/谨慎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4.0%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52.7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偏贵/谨慎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区间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价格参考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安全区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约30-35元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PE≤13或股息率≥6%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适合长期资金加大配置</w:t>
            </w:r>
          </w:p>
        </w:tc>
      </w:tr>
      <w:tr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合理区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约35-42元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股息率5%-6%，PE约13-16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适合分批买入，控制仓位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偏贵区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约42-47元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股息率4.5%-5%，PE约16-18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以持有为主，新买需谨慎</w:t>
            </w:r>
          </w:p>
        </w:tc>
      </w:tr>
      <w:tr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高估区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47元以上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股息率≤4.5%或PE≥18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除非极看好资产注入/利率下行，否则不宜追高</w:t>
            </w:r>
          </w:p>
        </w:tc>
      </w:tr>
    </w:tbl>
    <w:p>
      <w:pPr>
        <w:spacing w:line="276" w:lineRule="auto" w:after="120"/>
      </w:pPr>
      <w:r>
        <w:rPr>
          <w:rFonts w:ascii="Noto Sans CJK SC" w:hAnsi="Noto Sans CJK SC" w:eastAsia="Noto Sans CJK SC"/>
        </w:rPr>
        <w:t>结论：截至2026年5月初，A股中国神华更接近“偏贵区/高位震荡区”，不是典型深度价值买点；若投资目标是收息，优先等待股息率回到5.5%-6%以上，或比较H股折价后的股息率。</w:t>
      </w:r>
    </w:p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七、同业对比：中国神华 vs 陕西煤业 vs 兖矿能源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2025营业收入(亿元)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2025归母净利润(亿元)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2025分红/股息政策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商业模式定位</w:t>
            </w:r>
          </w:p>
        </w:tc>
        <w:tc>
          <w:tcPr>
            <w:tcW w:type="dxa" w:w="166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价值投资评价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中国神华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2949.16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528.49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全年预计约418亿元，分红率约79%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煤电运一体化、现金流最稳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红利核心资产，防御性最强</w:t>
            </w:r>
          </w:p>
        </w:tc>
      </w:tr>
      <w:tr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陕西煤业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1581.79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167.65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拟10派9.09元，全年分红约91.89亿元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优质煤炭主业，煤价弹性较高</w:t>
            </w:r>
          </w:p>
        </w:tc>
        <w:tc>
          <w:tcPr>
            <w:tcW w:type="dxa" w:w="1662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弹性与分红兼具，但一体化弱于神华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兖矿能源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1449.33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83.81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全年0.50元/股，约50.2亿元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煤炭+煤化工+海外资源，波动较大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周期弹性强，但盈利稳定性弱于神华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中国神华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陕西煤业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兖矿能源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盈利稳定性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最高：一体化和长协平滑周期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较高：资源优，但更依赖煤价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较低：煤价和化工波动更明显</w:t>
            </w:r>
          </w:p>
        </w:tc>
      </w:tr>
      <w:tr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分红确定性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最高：多年高分红，现金流强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较高：分红比例不低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中等：2025利润下滑后分红吸引力下降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成长/弹性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中低：稳健为主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中高：煤价修复弹性更高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高：周期弹性与风险同步放大</w:t>
            </w:r>
          </w:p>
        </w:tc>
      </w:tr>
      <w:tr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估值容忍度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可高于纯煤企，但不能脱离股息率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取决于煤价修复预期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取决于盈利拐点与负债/周期压力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适合投资者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稳健收息、防御配置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愿意承担周期波动换弹性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高风险偏好周期投资者</w:t>
            </w:r>
          </w:p>
        </w:tc>
      </w:tr>
    </w:tbl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八、DCF / DDM估值模型</w:t>
      </w:r>
    </w:p>
    <w:p>
      <w:pPr>
        <w:spacing w:line="276" w:lineRule="auto" w:after="120"/>
      </w:pPr>
      <w:r>
        <w:rPr>
          <w:rFonts w:ascii="Noto Sans CJK SC" w:hAnsi="Noto Sans CJK SC" w:eastAsia="Noto Sans CJK SC"/>
        </w:rPr>
        <w:t>中国神华的估值不适合用高速增长DCF，而应使用“正常化自由现金流 + 股息贴现”的双模型。原因是：资本开支和周期利润波动明显，长期增长率不宜乐观，股东回报主要通过现金分红实现。</w:t>
      </w:r>
    </w:p>
    <w:p>
      <w:pPr>
        <w:pStyle w:val="Heading2"/>
        <w:spacing w:line="276" w:lineRule="auto" w:after="120"/>
      </w:pPr>
      <w:r>
        <w:rPr>
          <w:rFonts w:ascii="Noto Sans CJK SC" w:hAnsi="Noto Sans CJK SC" w:eastAsia="Noto Sans CJK SC"/>
        </w:rPr>
        <w:t>8.1 正常化FCFE模型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假设项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保守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中性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乐观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正常化归母净利润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500亿元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550亿元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600亿元</w:t>
            </w:r>
          </w:p>
        </w:tc>
      </w:tr>
      <w:tr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分红率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70%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75%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80%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可持续FCFE/分红现金流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350亿元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413亿元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480亿元</w:t>
            </w:r>
          </w:p>
        </w:tc>
      </w:tr>
      <w:tr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折现率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9.5%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8.5%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7.5%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长期增长率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0%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1%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1.5%</w:t>
            </w:r>
          </w:p>
        </w:tc>
      </w:tr>
      <w:tr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权益价值粗略区间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约3680亿元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约5500亿元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约8000亿元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每股价值粗略区间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约18.5元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约27.7元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约40.3元</w:t>
            </w:r>
          </w:p>
        </w:tc>
      </w:tr>
    </w:tbl>
    <w:p>
      <w:pPr>
        <w:spacing w:line="276" w:lineRule="auto" w:after="120"/>
      </w:pPr>
      <w:r>
        <w:rPr>
          <w:rFonts w:ascii="Noto Sans CJK SC" w:hAnsi="Noto Sans CJK SC" w:eastAsia="Noto Sans CJK SC"/>
        </w:rPr>
        <w:t>说明：该模型非常保守，因为只把可持续分红/FCFE作为价值锚，并未充分计入资产注入后的增量价值、账面现金与周期上行弹性。它的作用是给出“现金流底部价值”，不是短期目标价。</w:t>
      </w:r>
    </w:p>
    <w:p>
      <w:pPr>
        <w:pStyle w:val="Heading2"/>
        <w:spacing w:line="276" w:lineRule="auto" w:after="120"/>
      </w:pPr>
      <w:r>
        <w:rPr>
          <w:rFonts w:ascii="Noto Sans CJK SC" w:hAnsi="Noto Sans CJK SC" w:eastAsia="Noto Sans CJK SC"/>
        </w:rPr>
        <w:t>8.2 股息贴现DDM敏感性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折现率 / 增长率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0%增长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1%增长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2%增长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7.5%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28.1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32.8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39.1</w:t>
            </w:r>
          </w:p>
        </w:tc>
      </w:tr>
      <w:tr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8.5%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24.8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28.4</w:t>
            </w:r>
          </w:p>
        </w:tc>
        <w:tc>
          <w:tcPr>
            <w:tcW w:type="dxa" w:w="2493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33.1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9.5%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22.2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25.1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28.7</w:t>
            </w:r>
          </w:p>
        </w:tc>
      </w:tr>
    </w:tbl>
    <w:p>
      <w:pPr>
        <w:spacing w:line="276" w:lineRule="auto" w:after="120"/>
      </w:pPr>
      <w:r>
        <w:rPr>
          <w:rFonts w:ascii="Noto Sans CJK SC" w:hAnsi="Noto Sans CJK SC" w:eastAsia="Noto Sans CJK SC"/>
        </w:rPr>
        <w:t>DDM结论：若投资者要求8%-9%的长期回报，且分红仅低速增长，则合理股价多在25-40元区间；若市场利率持续下行、投资者只要求6%左右回报，股价才有理由长期维持更高估值。</w:t>
      </w:r>
    </w:p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九、股息复利回报测算</w:t>
      </w:r>
    </w:p>
    <w:p>
      <w:pPr>
        <w:spacing w:line="276" w:lineRule="auto" w:after="120"/>
      </w:pPr>
      <w:r>
        <w:rPr>
          <w:rFonts w:ascii="Noto Sans CJK SC" w:hAnsi="Noto Sans CJK SC" w:eastAsia="Noto Sans CJK SC"/>
        </w:rPr>
        <w:t>以下测算以2025年每股分红2.11元为初始值，假设未来10年每年分红增长0%、1%、2%，并假设退出时股息率与买入时相同。该模型用于理解“买入价格”对长期回报的影响。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买入价(元)</w:t>
            </w:r>
          </w:p>
        </w:tc>
        <w:tc>
          <w:tcPr>
            <w:tcW w:type="dxa" w:w="199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分红年增长</w:t>
            </w:r>
          </w:p>
        </w:tc>
        <w:tc>
          <w:tcPr>
            <w:tcW w:type="dxa" w:w="199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10年累计分红</w:t>
            </w:r>
          </w:p>
        </w:tc>
        <w:tc>
          <w:tcPr>
            <w:tcW w:type="dxa" w:w="199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第10年退出价</w:t>
            </w:r>
          </w:p>
        </w:tc>
        <w:tc>
          <w:tcPr>
            <w:tcW w:type="dxa" w:w="199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年化收益率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35.2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0%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21.1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35.2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6.0%</w:t>
            </w:r>
          </w:p>
        </w:tc>
      </w:tr>
      <w:tr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35.2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1%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22.3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38.9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7.1%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35.2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2%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23.6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42.9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8.1%</w:t>
            </w:r>
          </w:p>
        </w:tc>
      </w:tr>
      <w:tr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42.2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0%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21.1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42.2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5.0%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42.2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1%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22.3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46.6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6.1%</w:t>
            </w:r>
          </w:p>
        </w:tc>
      </w:tr>
      <w:tr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42.2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2%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23.6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51.4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7.1%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46.9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0%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21.1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46.9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4.5%</w:t>
            </w:r>
          </w:p>
        </w:tc>
      </w:tr>
      <w:tr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46.9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1%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22.3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51.8</w:t>
            </w:r>
          </w:p>
        </w:tc>
        <w:tc>
          <w:tcPr>
            <w:tcW w:type="dxa" w:w="199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5.5%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46.9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2%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23.6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57.2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6.6%</w:t>
            </w:r>
          </w:p>
        </w:tc>
      </w:tr>
    </w:tbl>
    <w:p>
      <w:pPr>
        <w:spacing w:line="276" w:lineRule="auto" w:after="120"/>
      </w:pPr>
      <w:r>
        <w:rPr>
          <w:rFonts w:ascii="Noto Sans CJK SC" w:hAnsi="Noto Sans CJK SC" w:eastAsia="Noto Sans CJK SC"/>
        </w:rPr>
        <w:t>结论：同样一家公司，35元附近买入和47元附近买入的长期收益差异很大。对于红利资产，安全边际主要来自“买入时股息率足够高”，而不是未来利润高增长。</w:t>
      </w:r>
    </w:p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十、投资策略与仓位建议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投资者类型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建议策略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关注指标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长期收息型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等待股息率≥5.5%-6%分批配置；已持有者可继续收息，但高位不追涨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每股分红、分红率、经营现金流、煤价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防御配置型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作为组合压舱石，控制单一行业暴露，避免因红利逻辑拥挤而高估买入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10年国债收益率、A/H溢价、煤炭板块资金流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周期交易型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不建议仅把神华当高弹性煤炭股，弹性通常弱于陕煤/兖矿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煤价拐点、库存、电厂日耗、进口煤价</w:t>
            </w:r>
          </w:p>
        </w:tc>
      </w:tr>
      <w:tr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港股投资者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可比较01088.HK股息率与汇率成本，关注AH价差</w:t>
            </w:r>
          </w:p>
        </w:tc>
        <w:tc>
          <w:tcPr>
            <w:tcW w:type="dxa" w:w="3324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H股股息率、港币/人民币汇率、港股流动性</w:t>
            </w:r>
          </w:p>
        </w:tc>
      </w:tr>
    </w:tbl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十一、主要风险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煤价风险：若动力煤价格长期下行，煤炭业务毛利率和利润中枢将下降。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需求替代风险：新能源、电力市场化和储能发展可能压制煤电长期增长。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分红率风险：若资本开支、资产收购或监管要求提高，公司分红比例可能下降。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资产注入风险：集团资产收购虽可能增厚规模，但交易价格、并表节奏、整合效率和股本摊薄均需跟踪。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安全生产与政策风险：煤矿安全、环保、限价、长协政策均可能影响盈利。</w:t>
      </w:r>
    </w:p>
    <w:p>
      <w:pPr>
        <w:pStyle w:val="ListBullet"/>
        <w:spacing w:line="276" w:lineRule="auto" w:after="120"/>
      </w:pPr>
      <w:r>
        <w:rPr>
          <w:rFonts w:ascii="Noto Sans CJK SC" w:hAnsi="Noto Sans CJK SC" w:eastAsia="Noto Sans CJK SC"/>
        </w:rPr>
        <w:t>估值拥挤风险：红利资产若被过度追捧，股息率下降后安全边际会明显削弱。</w:t>
      </w:r>
    </w:p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十二、最终结论</w:t>
      </w:r>
    </w:p>
    <w:p>
      <w:pPr>
        <w:spacing w:line="276" w:lineRule="auto" w:after="120"/>
      </w:pPr>
      <w:r>
        <w:rPr>
          <w:rFonts w:ascii="Noto Sans CJK SC" w:hAnsi="Noto Sans CJK SC" w:eastAsia="Noto Sans CJK SC"/>
        </w:rPr>
        <w:t>中国神华是A股/港股市场中少见的“资源垄断 + 基础设施网络 + 高现金分红”型公司。站在价值投资角度，它的优势不是高增长，而是可验证的现金流、行业龙头地位、分红纪律和一体化护城河。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</w:rPr>
        <w:t>但好公司不等于任何价格都值得买。2026年春季A股约47元附近对应股息率约4.5%、静态PE约18倍，已较充分反映红利资产重估。更理性的策略是：持有者以收息为主；新资金等待股息率回到5.5%-6%以上，或在H股折价明显时择机比较配置。</w:t>
      </w:r>
    </w:p>
    <w:p>
      <w:pPr>
        <w:pStyle w:val="Heading1"/>
        <w:spacing w:line="276" w:lineRule="auto" w:after="120"/>
      </w:pPr>
      <w:r>
        <w:rPr>
          <w:rFonts w:ascii="Noto Sans CJK SC" w:hAnsi="Noto Sans CJK SC" w:eastAsia="Noto Sans CJK SC"/>
        </w:rPr>
        <w:t>十三、主要资料来源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中国神华能源股份有限公司：《2025年度报告》，2026年3月披露，公开公告PDF。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中国神华能源股份有限公司：《2024年度报告》，2025年3月披露，官方网站PDF。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中国神华能源股份有限公司：《2023年度报告》，2024年3月披露，官方网站/公告PDF。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海通国际/新浪财经转载：《中国神华2025年年报和2026年一季报点评》，2026年4月，披露2025年营收2949.16亿元、归母净利润528.49亿元及分红率等数据。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华源证券：《中国神华（601088.SH）研究报告》，2026年4月，披露2026年4月10日收盘价46.38元、一年高低点50.38/约等数据及股息率预测。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财新网：《中国神华2023年净利近600亿元拟派现金红利449亿元》，2024年3月，披露2023年营收3430.74亿元、归母净利润596.94亿元、分红率75.2%。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新浪财经/证券之星：《中国神华2024年年报简析》，2025年3月，披露2024年营收3383.75亿元、归母净利润586.71亿元。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陕西煤业股份有限公司：《2025年度报告》及国信证券年报点评，2026年4月，披露2025年营收1581.79亿元、归母净利润167.65亿元。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兖矿能源集团股份有限公司：《2025年度报告》及上海证券报/东方财富转载，2026年3月，披露2025年营收1449.33亿元、归母净利润83.81亿元。</w:t>
      </w:r>
    </w:p>
    <w:p>
      <w:pPr>
        <w:pStyle w:val="ListNumber"/>
        <w:spacing w:line="276" w:lineRule="auto" w:after="120"/>
      </w:pPr>
      <w:r>
        <w:rPr>
          <w:rFonts w:ascii="Noto Sans CJK SC" w:hAnsi="Noto Sans CJK SC" w:eastAsia="Noto Sans CJK SC"/>
        </w:rPr>
        <w:t>Investing.com、搜狐证券、雪球、理杏仁等公开行情与估值页面：用于交叉核对2026年4月股价区间、股息率与市场表现。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color w:val="646464"/>
          <w:sz w:val="18"/>
        </w:rPr>
        <w:br/>
        <w:t>免责声明：本文仅用于学习和研究，不构成证券投资建议。市场有风险，投资需结合个人风险承受能力独立判断。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