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44"/>
        </w:rPr>
        <w:t>日本金融、房地产与产业金融的长期变化</w:t>
        <w:br/>
        <w:t>及其对中国未来的启示</w:t>
      </w:r>
    </w:p>
    <w:p>
      <w:pPr>
        <w:jc w:val="center"/>
      </w:pPr>
      <w:r>
        <w:rPr>
          <w:rFonts w:ascii="Noto Sans CJK SC" w:hAnsi="Noto Sans CJK SC" w:eastAsia="Noto Sans CJK SC"/>
          <w:i/>
          <w:sz w:val="24"/>
        </w:rPr>
        <w:t>从资产泡沫、银行体系、地方财政与产业升级四条线索观察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整理日期：2026年4月29日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  <w:sz w:val="24"/>
              </w:rPr>
              <w:t>核心结论</w:t>
            </w:r>
          </w:p>
          <w:p>
            <w:pPr>
              <w:ind w:left="259"/>
            </w:pPr>
            <w:r>
              <w:rPr>
                <w:b/>
              </w:rPr>
              <w:t xml:space="preserve">• </w:t>
            </w:r>
            <w:r>
              <w:t>中国确实有若干方面类似日本1990年前后的转折点：地产资产价格调整、银行与抵押品绑定、人口拐点、地方/准财政债务压力、居民和企业预期转弱。</w:t>
            </w:r>
          </w:p>
          <w:p>
            <w:pPr>
              <w:ind w:left="259"/>
            </w:pPr>
            <w:r>
              <w:rPr>
                <w:b/>
              </w:rPr>
              <w:t xml:space="preserve">• </w:t>
            </w:r>
            <w:r>
              <w:t>但中国不会简单复制日本。中国的发展阶段、政府对金融体系的控制力、产业规模与外部环境均不同。更可能出现“地产长期出清 + 金融低收益化 + 地方财政重构 + 制造业升级与外需摩擦并存”的组合。</w:t>
            </w:r>
          </w:p>
          <w:p>
            <w:pPr>
              <w:ind w:left="259"/>
            </w:pPr>
            <w:r>
              <w:rPr>
                <w:b/>
              </w:rPr>
              <w:t xml:space="preserve">• </w:t>
            </w:r>
            <w:r>
              <w:t>未来关键不是房价本身，而是能否尽快完成损失确认、债务重组和居民收入预期修复。</w:t>
            </w:r>
          </w:p>
        </w:tc>
      </w:tr>
    </w:tbl>
    <w:p>
      <w:pPr>
        <w:pStyle w:val="Heading1"/>
        <w:pBdr>
          <w:bottom w:val="single" w:sz="8" w:space="6" w:color="D9E2F3"/>
        </w:pBdr>
      </w:pPr>
      <w:r>
        <w:br/>
        <w:t>目录</w:t>
      </w:r>
    </w:p>
    <w:p>
      <w:r>
        <w:t>1. 一、日本过去几十年的主线</w:t>
      </w:r>
    </w:p>
    <w:p>
      <w:r>
        <w:t>2. 二、日本房地产：从全民资产信仰到区域分化</w:t>
      </w:r>
    </w:p>
    <w:p>
      <w:r>
        <w:t>3. 三、日本金融体系：银行从扩张机器变成风险吸收器</w:t>
      </w:r>
    </w:p>
    <w:p>
      <w:r>
        <w:t>4. 四、日本产业金融：产业能力强，但宏观名义增长弱</w:t>
      </w:r>
    </w:p>
    <w:p>
      <w:r>
        <w:t>5. 五、中国与日本的相似点</w:t>
      </w:r>
    </w:p>
    <w:p>
      <w:r>
        <w:t>6. 六、中国与日本的不同点</w:t>
      </w:r>
    </w:p>
    <w:p>
      <w:r>
        <w:t>7. 七、中国未来的三种可能情景</w:t>
      </w:r>
    </w:p>
    <w:p>
      <w:r>
        <w:t>8. 八、投资与资产配置启示</w:t>
      </w:r>
    </w:p>
    <w:p>
      <w:r>
        <w:t>9. 九、结论</w:t>
      </w:r>
    </w:p>
    <w:p>
      <w:r>
        <w:t>10. 参考资料</w:t>
      </w:r>
    </w:p>
    <w:p>
      <w:r>
        <w:br w:type="page"/>
      </w:r>
    </w:p>
    <w:p>
      <w:pPr>
        <w:pStyle w:val="Heading1"/>
        <w:pBdr>
          <w:bottom w:val="single" w:sz="8" w:space="6" w:color="D9E2F3"/>
        </w:pBdr>
      </w:pPr>
      <w:r>
        <w:t>一、日本过去几十年的主线</w:t>
      </w:r>
    </w:p>
    <w:p>
      <w:pPr>
        <w:pStyle w:val="Heading2"/>
      </w:pPr>
      <w:r>
        <w:t>1. 1980年代：金融宽松、土地神话与银行信用扩张</w:t>
      </w:r>
    </w:p>
    <w:p>
      <w:r>
        <w:t>日本战后高速增长后，到1980年代形成了“低利率—土地抵押—银行信贷—资产上涨”的正反馈。1985年广场协议后，日元升值给出口企业带来压力，日本采取较宽松的政策环境以缓冲冲击，资金大量流入股票和土地市场。</w:t>
      </w:r>
    </w:p>
    <w:p>
      <w:r>
        <w:t>泡沫时期，土地不仅是居住和生产资料，更是企业融资、银行抵押和社会财富想象的核心。企业和个人以土地作为抵押，银行愿意继续放贷；土地价格上涨提高抵押品价值，又进一步放大信贷扩张。</w:t>
      </w:r>
    </w:p>
    <w:p>
      <w:pPr>
        <w:pStyle w:val="Heading2"/>
      </w:pPr>
      <w:r>
        <w:t>2. 1990年代：泡沫破裂，银行体系被房地产拖住</w:t>
      </w:r>
    </w:p>
    <w:p>
      <w:r>
        <w:t>日本泡沫破裂不是单日崩盘，而是股市先跌、土地后跌、银行坏账暴露、实体经济被动去杠杆的连锁过程。其本质不是“房价下跌”本身，而是银行、企业、地产和财政都被同一类资产价格绑定。</w:t>
      </w:r>
    </w:p>
    <w:p>
      <w:r>
        <w:t>日本银行体系在企业融资中占据主导地位，大量贷款以房地产和土地作抵押。土地价格持续下跌后，抵押品价值缩水，银行不良贷款上升。如果损失确认和坏账处置过慢，就容易出现“僵尸企业”和“僵尸银行”的互相维持。</w:t>
      </w:r>
    </w:p>
    <w:p>
      <w:pPr>
        <w:pStyle w:val="Heading2"/>
      </w:pPr>
      <w:r>
        <w:t>3. 失去的十年/二十年：低增长、低通胀、低收益率</w:t>
      </w:r>
    </w:p>
    <w:p>
      <w:r>
        <w:t>日本并没有出现典型发展中国家的外债危机或恶性通胀危机，而是进入了低增长、低通胀、低利率、低资产回报的长期状态。资产价格下跌后，企业和家庭优先修复资产负债表，借钱和投资意愿下降，银行也趋于谨慎。</w:t>
      </w:r>
    </w:p>
    <w:p>
      <w:r>
        <w:t>这个过程改变了社会预期：泡沫前的逻辑是土地永远稀缺、资产长期上涨、收入持续增长；泡沫后则变成资产可能下跌、收入不一定增长、借钱要谨慎、现金储备更重要。</w:t>
      </w:r>
    </w:p>
    <w:p>
      <w:pPr>
        <w:pStyle w:val="Heading1"/>
        <w:pBdr>
          <w:bottom w:val="single" w:sz="8" w:space="6" w:color="D9E2F3"/>
        </w:pBdr>
      </w:pPr>
      <w:r>
        <w:t>二、日本房地产：从全民资产信仰到区域分化</w:t>
      </w:r>
    </w:p>
    <w:p>
      <w:r>
        <w:t>日本房地产周期大致经历四个阶段：泡沫化、全国性下跌、长期去库存和人口压力、优质资产再通胀与普通资产分化。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阶段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主要特征</w:t>
            </w:r>
          </w:p>
        </w:tc>
        <w:tc>
          <w:tcPr>
            <w:tcW w:type="dxa" w:w="3331"/>
            <w:vAlign w:val="center"/>
            <w:shd w:fill="D9EAF7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对经济/金融的影响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泡沫化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土地价格上涨被视为基本面，买地、融资、再抵押形成循环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银行信用快速扩张，企业资产负债表对土地高度敏感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全国性下跌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股票和土地价格相继下跌，抵押品缩水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银行不良贷款暴露，企业被动去杠杆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长期去库存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人口老龄化、地方人口流出、空置房上升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房地产从总量扩张转向结构性替换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区域分化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核心都市圈与优质地段更有支撑，地方弱资产流动性下降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房地产回归现金流和区位稀缺性</w:t>
            </w:r>
          </w:p>
        </w:tc>
      </w:tr>
    </w:tbl>
    <w:p>
      <w:r>
        <w:t>日本房地产给中国最大的启示是：当人口、收入和城市化预期改变后，房地产不会再是“买什么都涨”的资产，而会转向“少数优质资产有现金流和流动性，多数普通资产按居住价值和区域人口重新定价”。</w:t>
      </w:r>
    </w:p>
    <w:p>
      <w:pPr>
        <w:pStyle w:val="Heading1"/>
        <w:pBdr>
          <w:bottom w:val="single" w:sz="8" w:space="6" w:color="D9E2F3"/>
        </w:pBdr>
      </w:pPr>
      <w:r>
        <w:t>三、日本金融体系：银行从扩张机器变成风险吸收器</w:t>
      </w:r>
    </w:p>
    <w:p>
      <w:r>
        <w:t>泡沫前，日本银行是高增长时代的扩张机器；泡沫后，银行逐渐变成低增长时代的风险吸收器。银行既要维持金融稳定，又要处理不良贷款，还要面对低利率环境下的利润率下降。</w:t>
      </w:r>
    </w:p>
    <w:p>
      <w:pPr>
        <w:ind w:left="317"/>
      </w:pPr>
      <w:r>
        <w:rPr>
          <w:b/>
        </w:rPr>
        <w:t xml:space="preserve">• </w:t>
      </w:r>
      <w:r>
        <w:t>银行利润率长期承压，净息差和信贷需求都受到低增长环境压制。</w:t>
      </w:r>
    </w:p>
    <w:p>
      <w:pPr>
        <w:ind w:left="317"/>
      </w:pPr>
      <w:r>
        <w:rPr>
          <w:b/>
        </w:rPr>
        <w:t xml:space="preserve">• </w:t>
      </w:r>
      <w:r>
        <w:t>国债和低风险资产成为金融机构重要配置方向。</w:t>
      </w:r>
    </w:p>
    <w:p>
      <w:pPr>
        <w:ind w:left="317"/>
      </w:pPr>
      <w:r>
        <w:rPr>
          <w:b/>
        </w:rPr>
        <w:t xml:space="preserve">• </w:t>
      </w:r>
      <w:r>
        <w:t>企业融资更加依赖内部现金流，投资行为趋于谨慎。</w:t>
      </w:r>
    </w:p>
    <w:p>
      <w:pPr>
        <w:ind w:left="317"/>
      </w:pPr>
      <w:r>
        <w:rPr>
          <w:b/>
        </w:rPr>
        <w:t xml:space="preserve">• </w:t>
      </w:r>
      <w:r>
        <w:t>家庭资产配置保守，现金、存款和低风险金融资产占比较高。</w:t>
      </w:r>
    </w:p>
    <w:p>
      <w:pPr>
        <w:ind w:left="317"/>
      </w:pPr>
      <w:r>
        <w:rPr>
          <w:b/>
        </w:rPr>
        <w:t xml:space="preserve">• </w:t>
      </w:r>
      <w:r>
        <w:t>货币政策刺激实体投资的边际效果下降，形成流动性陷阱或准流动性陷阱。</w:t>
      </w:r>
    </w:p>
    <w:p>
      <w:r>
        <w:t>这说明金融体系稳定不等于经济活力恢复。银行不倒、存款安全、利率下降只能避免危机；真正恢复增长，还需要债务重组、资产负债表修复、收入预期改善和新产业利润形成。</w:t>
      </w:r>
    </w:p>
    <w:p>
      <w:pPr>
        <w:pStyle w:val="Heading1"/>
        <w:pBdr>
          <w:bottom w:val="single" w:sz="8" w:space="6" w:color="D9E2F3"/>
        </w:pBdr>
      </w:pPr>
      <w:r>
        <w:t>四、日本产业金融：产业能力强，但宏观名义增长弱</w:t>
      </w:r>
    </w:p>
    <w:p>
      <w:r>
        <w:t>日本泡沫后并非产业失败。汽车、精密机械、材料、电子零部件、机器人、机床、化学、医疗器械等领域仍有很强竞争力。真正的问题是产业能力强，但国内需求、通胀和名义收入增长不足，企业整体投资和扩张意愿下降。</w:t>
      </w:r>
    </w:p>
    <w:p>
      <w:pPr>
        <w:ind w:left="317"/>
      </w:pPr>
      <w:r>
        <w:rPr>
          <w:b/>
        </w:rPr>
        <w:t xml:space="preserve">• </w:t>
      </w:r>
      <w:r>
        <w:t>企业去杠杆，减少借款，增加现金储备。</w:t>
      </w:r>
    </w:p>
    <w:p>
      <w:pPr>
        <w:ind w:left="317"/>
      </w:pPr>
      <w:r>
        <w:rPr>
          <w:b/>
        </w:rPr>
        <w:t xml:space="preserve">• </w:t>
      </w:r>
      <w:r>
        <w:t>制造业海外化，把部分生产、销售和利润来源转向海外市场。</w:t>
      </w:r>
    </w:p>
    <w:p>
      <w:pPr>
        <w:ind w:left="317"/>
      </w:pPr>
      <w:r>
        <w:rPr>
          <w:b/>
        </w:rPr>
        <w:t xml:space="preserve">• </w:t>
      </w:r>
      <w:r>
        <w:t>产业链高端化，在终端消费电子部分失势，但在上游材料、设备和零部件保持竞争力。</w:t>
      </w:r>
    </w:p>
    <w:p>
      <w:pPr>
        <w:ind w:left="317"/>
      </w:pPr>
      <w:r>
        <w:rPr>
          <w:b/>
        </w:rPr>
        <w:t xml:space="preserve">• </w:t>
      </w:r>
      <w:r>
        <w:t>资本效率改善较慢，企业治理和股东回报改革滞后。</w:t>
      </w:r>
    </w:p>
    <w:p>
      <w:r>
        <w:t>对中国的启示是：地产下行不等于制造业失败。中国仍可能在新能源车、电池、光伏、机器人、高端装备、工业软件、半导体设备和材料等领域继续进步。但产业升级不能完全抵消地产、人口和债务的拖累，尤其当国内需求不足时，产能扩张可能带来价格战、利润率下降和外部贸易摩擦。</w:t>
      </w:r>
    </w:p>
    <w:p>
      <w:pPr>
        <w:pStyle w:val="Heading1"/>
        <w:pBdr>
          <w:bottom w:val="single" w:sz="8" w:space="6" w:color="D9E2F3"/>
        </w:pBdr>
      </w:pPr>
      <w:r>
        <w:t>五、中国与日本的相似点</w:t>
      </w:r>
    </w:p>
    <w:p>
      <w:pPr>
        <w:pStyle w:val="Heading2"/>
      </w:pPr>
      <w:r>
        <w:t>1. 高速增长之后的资产价格过热</w:t>
      </w:r>
    </w:p>
    <w:p>
      <w:r>
        <w:t>日本1980年代土地和股票成为全民财富想象；中国过去二十多年，尤其2015年以后，房地产成为家庭财富、地方财政、银行信贷、开发商扩张和城市化叙事的核心。房地产不只是一个行业，而是信用扩张和抵押品体系的一部分。</w:t>
      </w:r>
    </w:p>
    <w:p>
      <w:pPr>
        <w:pStyle w:val="Heading2"/>
      </w:pPr>
      <w:r>
        <w:t>2. 银行、地产、地方财政/企业资产负债表强绑定</w:t>
      </w:r>
    </w:p>
    <w:p>
      <w:r>
        <w:t>中国的绑定关系比日本更复杂：居民按揭、开发商融资、地方土地财政、城投平台、银行表内外信贷、信托和地方基建投资互相连接。房地产下行不仅影响开发商利润，也影响地方财政、基建投资能力和银行资产质量。</w:t>
      </w:r>
    </w:p>
    <w:p>
      <w:pPr>
        <w:pStyle w:val="Heading2"/>
      </w:pPr>
      <w:r>
        <w:t>3. 人口拐点改变长期估值逻辑</w:t>
      </w:r>
    </w:p>
    <w:p>
      <w:r>
        <w:t>日本进入老龄化和人口减少后，房地产需求从总量扩张转向结构性替换。中国也已进入人口增长放缓乃至收缩阶段。过去买房赌的是人口流入、收入增长和城市扩张，未来买房更看就业、现金流、租售比、公共服务和区域竞争力。</w:t>
      </w:r>
    </w:p>
    <w:p>
      <w:pPr>
        <w:pStyle w:val="Heading2"/>
      </w:pPr>
      <w:r>
        <w:t>4. 高储蓄与内部融资能力</w:t>
      </w:r>
    </w:p>
    <w:p>
      <w:r>
        <w:t>日本和中国都具备较高国内储蓄，这使两国不太容易出现典型外债危机。但高储蓄也可能在预期不足时转化为“资产荒”：居民不愿消费，企业不愿投资，资金只能流向低收益资产。</w:t>
      </w:r>
    </w:p>
    <w:p>
      <w:pPr>
        <w:pStyle w:val="Heading2"/>
      </w:pPr>
      <w:r>
        <w:t>5. 试图以产业升级对冲地产下行</w:t>
      </w:r>
    </w:p>
    <w:p>
      <w:r>
        <w:t>日本依靠汽车、机械、材料和海外投资维持产业竞争力。中国则试图通过新能源、高端制造、数字经济和科技自主来接续增长。但如果需求不足或政策过度补贴产能，产业升级可能变成行业内卷和利润率下降。</w:t>
      </w:r>
    </w:p>
    <w:p>
      <w:pPr>
        <w:pStyle w:val="Heading1"/>
        <w:pBdr>
          <w:bottom w:val="single" w:sz="8" w:space="6" w:color="D9E2F3"/>
        </w:pBdr>
      </w:pPr>
      <w:r>
        <w:t>六、中国与日本的不同点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维度</w:t>
            </w:r>
          </w:p>
        </w:tc>
        <w:tc>
          <w:tcPr>
            <w:tcW w:type="dxa" w:w="3331"/>
            <w:vAlign w:val="center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日本1990年前后</w:t>
            </w:r>
          </w:p>
        </w:tc>
        <w:tc>
          <w:tcPr>
            <w:tcW w:type="dxa" w:w="3331"/>
            <w:vAlign w:val="center"/>
            <w:shd w:fill="D9EAD3"/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中国当前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发展阶段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已基本进入高收入、成熟工业经济体阶段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仍有追赶空间，区域差异更大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金融体系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银行重要，但市场化约束更直接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国有银行和政策工具更强，资本管制更完整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房地产结构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土地和商业地产泡沫突出，住宅也受影响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住宅、预售、开发商、城投、土地财政高度耦合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外部环境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仍处在全球化扩张阶段，日本企业海外化空间较大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面临科技封锁、贸易摩擦和供应链重组压力</w:t>
            </w:r>
          </w:p>
        </w:tc>
      </w:tr>
      <w:tr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政策执行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调整较慢，坏账确认迟缓</w:t>
            </w:r>
          </w:p>
        </w:tc>
        <w:tc>
          <w:tcPr>
            <w:tcW w:type="dxa" w:w="3331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执行力强，但政策目标多，可能延缓市场出清</w:t>
            </w:r>
          </w:p>
        </w:tc>
      </w:tr>
    </w:tbl>
    <w:p>
      <w:r>
        <w:t>这些差异意味着中国未必会简单复制日本“失去三十年”。中国更可能出现一种有中国特色的长期再平衡：房地产降权、银行低收益化、地方财政重构、产业继续升级，但居民预期和企业利润率承压。</w:t>
      </w:r>
    </w:p>
    <w:p>
      <w:pPr>
        <w:pStyle w:val="Heading1"/>
        <w:pBdr>
          <w:bottom w:val="single" w:sz="8" w:space="6" w:color="D9E2F3"/>
        </w:pBdr>
      </w:pPr>
      <w:r>
        <w:t>七、中国未来的三种可能情景</w:t>
      </w:r>
    </w:p>
    <w:p>
      <w:pPr>
        <w:pStyle w:val="Heading2"/>
      </w:pPr>
      <w:r>
        <w:t>情景一：日本式低增长，但金融稳定（基准情景）</w:t>
      </w:r>
    </w:p>
    <w:p>
      <w:r>
        <w:t>房地产不再是增长引擎，房价全国性牛市结束，核心城市核心区域相对稳定，人口流出城市和三四线库存压力较大。银行体系不发生大规模倒闭，但净息差下降、资产质量压力长期存在。地方政府通过债务置换、展期和财政转移支付维持运转，居民和企业更倾向于储蓄和保守经营。</w:t>
      </w:r>
    </w:p>
    <w:p>
      <w:pPr>
        <w:pStyle w:val="Heading2"/>
      </w:pPr>
      <w:r>
        <w:t>情景二：财政重构与收入分配改革，避免深度日本化（较优情景）</w:t>
      </w:r>
    </w:p>
    <w:p>
      <w:r>
        <w:t>中央政府承担更多财政责任，地方减少土地财政依赖；地方税源、社保、公共服务和转移支付机制改善；房地产政策从托价格转向保交楼、保居民权益和重组开发商；产业政策从补贴产能转向补贴创新、需求和市场化退出。若实现这些条件，中国可能进入较慢但更健康的增长。</w:t>
      </w:r>
    </w:p>
    <w:p>
      <w:pPr>
        <w:pStyle w:val="Heading2"/>
      </w:pPr>
      <w:r>
        <w:t>情景三：损失确认过慢，形成准日本化和产能过剩外溢（较差情景）</w:t>
      </w:r>
    </w:p>
    <w:p>
      <w:r>
        <w:t>如果房地产损失长期不确认，地方债只展期不重组，银行持续给低效平台和僵尸企业续命，资金将被低效率主体占用。为了保增长，更多资源投向制造业产能，国内利润率下降，只能依赖出口，而外部市场可能通过关税、反补贴和产业政策反制。结果不是金融崩盘，而是利润率和预期长期低迷。</w:t>
      </w:r>
    </w:p>
    <w:p>
      <w:pPr>
        <w:pStyle w:val="Heading1"/>
        <w:pBdr>
          <w:bottom w:val="single" w:sz="8" w:space="6" w:color="D9E2F3"/>
        </w:pBdr>
      </w:pPr>
      <w:r>
        <w:t>八、投资与资产配置启示</w:t>
      </w:r>
    </w:p>
    <w:p>
      <w:pPr>
        <w:ind w:left="317"/>
      </w:pPr>
      <w:r>
        <w:rPr>
          <w:b/>
        </w:rPr>
        <w:t xml:space="preserve">• </w:t>
      </w:r>
      <w:r>
        <w:t>房地产：全国性普涨时代结束，重点看人口净流入、产业就业、教育医疗资源、租售比和区域财政能力。</w:t>
      </w:r>
    </w:p>
    <w:p>
      <w:pPr>
        <w:ind w:left="317"/>
      </w:pPr>
      <w:r>
        <w:rPr>
          <w:b/>
        </w:rPr>
        <w:t xml:space="preserve">• </w:t>
      </w:r>
      <w:r>
        <w:t>银行股：系统性安全性可能较高，但长期回报取决于净息差、资产质量、分红稳定性和承担政策性任务的程度。</w:t>
      </w:r>
    </w:p>
    <w:p>
      <w:pPr>
        <w:ind w:left="317"/>
      </w:pPr>
      <w:r>
        <w:rPr>
          <w:b/>
        </w:rPr>
        <w:t xml:space="preserve">• </w:t>
      </w:r>
      <w:r>
        <w:t>制造业：优先关注有技术壁垒、全球渠道、现金流和定价权的公司，谨慎对待纯规模扩张和补贴驱动型产能。</w:t>
      </w:r>
    </w:p>
    <w:p>
      <w:pPr>
        <w:ind w:left="317"/>
      </w:pPr>
      <w:r>
        <w:rPr>
          <w:b/>
        </w:rPr>
        <w:t xml:space="preserve">• </w:t>
      </w:r>
      <w:r>
        <w:t>消费：真正的长期机会取决于居民收入预期、社保改善和服务消费升级，而不是单纯短期刺激。</w:t>
      </w:r>
    </w:p>
    <w:p>
      <w:pPr>
        <w:ind w:left="317"/>
      </w:pPr>
      <w:r>
        <w:rPr>
          <w:b/>
        </w:rPr>
        <w:t xml:space="preserve">• </w:t>
      </w:r>
      <w:r>
        <w:t>债券和高股息资产：低利率环境下可能具备配置价值，但需警惕地方债务、信用分层和股息可持续性。</w:t>
      </w:r>
    </w:p>
    <w:p>
      <w:pPr>
        <w:ind w:left="317"/>
      </w:pPr>
      <w:r>
        <w:rPr>
          <w:b/>
        </w:rPr>
        <w:t xml:space="preserve">• </w:t>
      </w:r>
      <w:r>
        <w:t>现金流优先：未来资产定价将从“增长故事”转向“真实现金流、资产负债表质量和资本回报率”。</w:t>
      </w:r>
    </w:p>
    <w:p>
      <w:pPr>
        <w:pStyle w:val="Heading1"/>
        <w:pBdr>
          <w:bottom w:val="single" w:sz="8" w:space="6" w:color="D9E2F3"/>
        </w:pBdr>
      </w:pPr>
      <w:r>
        <w:t>九、结论</w:t>
      </w:r>
    </w:p>
    <w:p>
      <w:r>
        <w:t>日本经验对中国最大的启示不是“房价会跌多少”，而是当房地产从信用扩张引擎变成资产负债表负担后，一个国家必须尽快完成三件事：确认损失、重组债务、创造新的居民收入来源。</w:t>
      </w:r>
    </w:p>
    <w:p>
      <w:r>
        <w:t>如果中国处理得快，未来是“降速换挡”：地产占比下降，消费和服务业提高，制造业继续升级，金融体系逐步消化风险。如果处理得慢，未来更可能是“中国式日本化”：金融稳定、产业仍强、社会不崩，但长期低增长、低收益、低预期。</w:t>
      </w:r>
    </w:p>
    <w:p>
      <w:pPr>
        <w:pStyle w:val="Heading1"/>
        <w:pBdr>
          <w:bottom w:val="single" w:sz="8" w:space="6" w:color="D9E2F3"/>
        </w:pBdr>
      </w:pPr>
      <w:r>
        <w:t>参考资料</w:t>
      </w:r>
    </w:p>
    <w:p>
      <w:pPr>
        <w:ind w:left="317"/>
      </w:pPr>
      <w:r>
        <w:rPr>
          <w:b/>
        </w:rPr>
        <w:t xml:space="preserve">• </w:t>
      </w:r>
      <w:r>
        <w:t>Bank for International Settlements, Shigenori Shiratsuka, “The asset price bubble in Japan in the 1980s: lessons for financial and macroeconomic stability”.</w:t>
      </w:r>
    </w:p>
    <w:p>
      <w:pPr>
        <w:ind w:left="317"/>
      </w:pPr>
      <w:r>
        <w:rPr>
          <w:b/>
        </w:rPr>
        <w:t xml:space="preserve">• </w:t>
      </w:r>
      <w:r>
        <w:t>Bank for International Settlements, “The financial crisis in Japan during the 1990s: how the Bank of Japan responded and the lessons learnt”.</w:t>
      </w:r>
    </w:p>
    <w:p>
      <w:pPr>
        <w:ind w:left="317"/>
      </w:pPr>
      <w:r>
        <w:rPr>
          <w:b/>
        </w:rPr>
        <w:t xml:space="preserve">• </w:t>
      </w:r>
      <w:r>
        <w:t>International Monetary Fund, “Explaining the Slowdown in Japanese Growth in the 1990s”.</w:t>
      </w:r>
    </w:p>
    <w:p>
      <w:pPr>
        <w:ind w:left="317"/>
      </w:pPr>
      <w:r>
        <w:rPr>
          <w:b/>
        </w:rPr>
        <w:t xml:space="preserve">• </w:t>
      </w:r>
      <w:r>
        <w:t>International Monetary Fund, “The Japanese Banking Crisis of the 1990s”.</w:t>
      </w:r>
    </w:p>
    <w:p>
      <w:pPr>
        <w:ind w:left="317"/>
      </w:pPr>
      <w:r>
        <w:rPr>
          <w:b/>
        </w:rPr>
        <w:t xml:space="preserve">• </w:t>
      </w:r>
      <w:r>
        <w:t>Federal Reserve Bank of Dallas, “Japan’s Financial Crises and Lost Decades”.</w:t>
      </w:r>
    </w:p>
    <w:p>
      <w:pPr>
        <w:ind w:left="317"/>
      </w:pPr>
      <w:r>
        <w:rPr>
          <w:b/>
        </w:rPr>
        <w:t xml:space="preserve">• </w:t>
      </w:r>
      <w:r>
        <w:t>Kenneth Rogoff and Yuanchen Yang, “Peak China Housing”, NBER Working Paper.</w:t>
      </w:r>
    </w:p>
    <w:p>
      <w:pPr>
        <w:ind w:left="317"/>
      </w:pPr>
      <w:r>
        <w:rPr>
          <w:b/>
        </w:rPr>
        <w:t xml:space="preserve">• </w:t>
      </w:r>
      <w:r>
        <w:t>International Monetary Fund, “China’s Real Estate Challenge” / related IMF China real estate analysis.</w:t>
      </w:r>
    </w:p>
    <w:p>
      <w:pPr>
        <w:ind w:left="317"/>
      </w:pPr>
      <w:r>
        <w:rPr>
          <w:b/>
        </w:rPr>
        <w:t xml:space="preserve">• </w:t>
      </w:r>
      <w:r>
        <w:t>Peterson Institute for International Economics, “Chinese local governments’ reliance on land revenue drops with property downturn”.</w:t>
      </w:r>
    </w:p>
    <w:p>
      <w:pPr>
        <w:ind w:left="317"/>
      </w:pPr>
      <w:r>
        <w:rPr>
          <w:b/>
        </w:rPr>
        <w:t xml:space="preserve">• </w:t>
      </w:r>
      <w:r>
        <w:t>Reuters/AP 等公开报道：关于中国土地出让收入、地方债置换和财政支出变化。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6"/>
      </w:rPr>
      <w:t>日本金融地产产业金融变化及中国未来推演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857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