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01 - SUPPLY CHAIN</w:t>
      </w:r>
    </w:p>
    <w:p>
      <w:pPr>
        <w:pStyle w:val="Heading2"/>
      </w:pPr>
      <w:r>
        <w:t>Respondente: Dra. Sofia Langa (Gerente de Distribuição - Puma Energy)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Qual é a percentagem estimada dos custos logísticos face ao PVPR?</w:t>
      </w:r>
    </w:p>
    <w:p>
      <w:r>
        <w:t>R: Custo de 32%, impulsionado pelos sobrecustos portuários e tempos de espera na Beira.</w:t>
      </w:r>
    </w:p>
    <w:p/>
    <w:p>
      <w:pPr>
        <w:pStyle w:val="Heading3"/>
      </w:pPr>
      <w:r>
        <w:t>Q2: Qual é a autonomia média de tancagem e armazenamento?</w:t>
      </w:r>
    </w:p>
    <w:p>
      <w:r>
        <w:t>R: 8 dias de autonomia média, sensível a interrupções meteorológicas na época de ciclones.</w:t>
      </w:r>
    </w:p>
    <w:p/>
    <w:p>
      <w:pPr>
        <w:pStyle w:val="Heading3"/>
      </w:pPr>
      <w:r>
        <w:t>Q3: Qual é o nível de adoção de rastreamento GPS na frota?</w:t>
      </w:r>
    </w:p>
    <w:p>
      <w:r>
        <w:t>R: 50% de telemetria ativa na frota mista contratada.</w:t>
      </w:r>
    </w:p>
    <w:p/>
    <w:p>
      <w:pPr>
        <w:pStyle w:val="Heading3"/>
      </w:pPr>
      <w:r>
        <w:t>Q4: Qual é o grau de conformidade com a certificação ADR dos motoristas?</w:t>
      </w:r>
    </w:p>
    <w:p>
      <w:r>
        <w:t>R: Apenas 30% com certificação formal atualizada pelo INATTER.</w:t>
      </w:r>
    </w:p>
    <w:p/>
    <w:p>
      <w:pPr>
        <w:pStyle w:val="Heading3"/>
      </w:pPr>
      <w:r>
        <w:t>Q5: Quais são as principais medidas para mitigar o paradoxo modal?</w:t>
      </w:r>
    </w:p>
    <w:p>
      <w:r>
        <w:t>R: Incentivos fiscais para operadores rodoviários migrarem para o transporte ferroviário.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