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02 - REGULADORES E ESTADO</w:t>
      </w:r>
    </w:p>
    <w:p>
      <w:pPr>
        <w:pStyle w:val="Heading2"/>
      </w:pPr>
      <w:r>
        <w:t>Respondente: Dra. Maria Macamo (Diretora de Licenciamento - ARENE)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Como avalia a eficácia do quadro regulatório e tarifário?</w:t>
      </w:r>
    </w:p>
    <w:p>
      <w:r>
        <w:t>R: O mecanismo de preços protege o consumidor mas carece de flexibilidade perante choques cambiais.</w:t>
      </w:r>
    </w:p>
    <w:p/>
    <w:p>
      <w:pPr>
        <w:pStyle w:val="Heading3"/>
      </w:pPr>
      <w:r>
        <w:t>Q2: Quais são os principais entraves entre alfândegas e portos?</w:t>
      </w:r>
    </w:p>
    <w:p>
      <w:r>
        <w:t>R: Lentidão nos despachos eletrónicos e falta de interoperabilidade plena na Janela Única Portuária.</w:t>
      </w:r>
    </w:p>
    <w:p/>
    <w:p>
      <w:pPr>
        <w:pStyle w:val="Heading3"/>
      </w:pPr>
      <w:r>
        <w:t>Q3: Qual é o impacto da ausência de uma rede nacional de oleodutos?</w:t>
      </w:r>
    </w:p>
    <w:p>
      <w:r>
        <w:t>R: Sobrecarga severa na rodovia EN1 e elevação de 35% nos custos logísticos globais.</w:t>
      </w:r>
    </w:p>
    <w:p/>
    <w:p>
      <w:pPr>
        <w:pStyle w:val="Heading3"/>
      </w:pPr>
      <w:r>
        <w:t>Q4: Como são geridas as inspeções de segurança ambiental?</w:t>
      </w:r>
    </w:p>
    <w:p>
      <w:r>
        <w:t>R: Vistorias regulares limitadas por défice de inspetores técnicos especializados em HazMat.</w:t>
      </w:r>
    </w:p>
    <w:p/>
    <w:p>
      <w:pPr>
        <w:pStyle w:val="Heading3"/>
      </w:pPr>
      <w:r>
        <w:t>Q5: Quais são as diretrizes do Estado para a transição modal até 2030?</w:t>
      </w:r>
    </w:p>
    <w:p>
      <w:r>
        <w:t>R: Elevar a quota ferroviária de 15% para 45% através do Plano Diretor de Transportes.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