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02 - REGULADORES E ESTADO</w:t>
      </w:r>
    </w:p>
    <w:p>
      <w:pPr>
        <w:pStyle w:val="Heading2"/>
      </w:pPr>
      <w:r>
        <w:t>Respondente: Eng. Celso Nhantumbo (Diretor Nacional de Transportes - MTC)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Como avalia a eficácia do quadro regulatório e tarifário?</w:t>
      </w:r>
    </w:p>
    <w:p>
      <w:r>
        <w:t>R: Estrutura adequada para garantir estabilidade de abastecimento em todo o território nacional.</w:t>
      </w:r>
    </w:p>
    <w:p/>
    <w:p>
      <w:pPr>
        <w:pStyle w:val="Heading3"/>
      </w:pPr>
      <w:r>
        <w:t>Q2: Quais são os principais entraves entre alfândegas e portos?</w:t>
      </w:r>
    </w:p>
    <w:p>
      <w:r>
        <w:t>R: Necessidade de otimização de procedimentos aduaneiros (AT) para reduzir o tempo de demurrage.</w:t>
      </w:r>
    </w:p>
    <w:p/>
    <w:p>
      <w:pPr>
        <w:pStyle w:val="Heading3"/>
      </w:pPr>
      <w:r>
        <w:t>Q3: Qual é o impacto da ausência de uma rede nacional de oleodutos?</w:t>
      </w:r>
    </w:p>
    <w:p>
      <w:r>
        <w:t>R: Dependência rodoviária de 95% impõe custos elevados de manutenção asfáltica ao Estado.</w:t>
      </w:r>
    </w:p>
    <w:p/>
    <w:p>
      <w:pPr>
        <w:pStyle w:val="Heading3"/>
      </w:pPr>
      <w:r>
        <w:t>Q4: Como são geridas as inspeções de segurança ambiental?</w:t>
      </w:r>
    </w:p>
    <w:p>
      <w:r>
        <w:t>R: Colaboração interministerial entre MTC, MITA e autoridades locais de fiscalização.</w:t>
      </w:r>
    </w:p>
    <w:p/>
    <w:p>
      <w:pPr>
        <w:pStyle w:val="Heading3"/>
      </w:pPr>
      <w:r>
        <w:t>Q5: Quais são as diretrizes do Estado para a transição modal até 2030?</w:t>
      </w:r>
    </w:p>
    <w:p>
      <w:r>
        <w:t>R: Reabilitação dos corredores logísticos de Nacala, Beira e Limpopo com foco ferroviário.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