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03 - OPERADORES FROTISTAS RODOVIÁRIOS</w:t>
      </w:r>
    </w:p>
    <w:p>
      <w:pPr>
        <w:pStyle w:val="Heading2"/>
      </w:pPr>
      <w:r>
        <w:t>Respondente: Sr. Samuel Jamine (Gestor de Frota - Trans-Corredor Beira)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Quais são os maiores custos operacionais suportados nas rodovias?</w:t>
      </w:r>
    </w:p>
    <w:p>
      <w:r>
        <w:t>R: Manutenção corretiva devido a buracos na EN6, consumo excessivo de peças e pneus.</w:t>
      </w:r>
    </w:p>
    <w:p/>
    <w:p>
      <w:pPr>
        <w:pStyle w:val="Heading3"/>
      </w:pPr>
      <w:r>
        <w:t>Q2: Qual é o tempo médio de espera nos terminais portuários?</w:t>
      </w:r>
    </w:p>
    <w:p>
      <w:r>
        <w:t>R: Perda de 5 dias úteis por ciclo de carregamento devido a congestionamentos no porto da Beira.</w:t>
      </w:r>
    </w:p>
    <w:p/>
    <w:p>
      <w:pPr>
        <w:pStyle w:val="Heading3"/>
      </w:pPr>
      <w:r>
        <w:t>Q3: Quais são as dificuldades na contratação de motoristas qualificados?</w:t>
      </w:r>
    </w:p>
    <w:p>
      <w:r>
        <w:t>R: Escassez de motoristas com carta profissional e formação HazMat/ADR em boas condições.</w:t>
      </w:r>
    </w:p>
    <w:p/>
    <w:p>
      <w:pPr>
        <w:pStyle w:val="Heading3"/>
      </w:pPr>
      <w:r>
        <w:t>Q4: Como avalia o impacto de acidentes rodoviários na sustentabilidade?</w:t>
      </w:r>
    </w:p>
    <w:p>
      <w:r>
        <w:t>R: Risco iminente de falência por responsabilidade civil e coimas ambientais em caso de derrame.</w:t>
      </w:r>
    </w:p>
    <w:p/>
    <w:p>
      <w:pPr>
        <w:pStyle w:val="Heading3"/>
      </w:pPr>
      <w:r>
        <w:t>Q5: Qual é a perspetiva de modernização da frota de cisternas?</w:t>
      </w:r>
    </w:p>
    <w:p>
      <w:r>
        <w:t>R: Dificuldade em investir em novos camiões devido às margens apertadas da tabela de frete.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