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A - Direção e Gestão de Supply Chain - TOM A (PERSPETIVA CRÍTICA E OPERACIONAL)</w:t>
      </w:r>
    </w:p>
    <w:p>
      <w:r>
        <w:t>Respondente Auditado: Eng. Armando Cossa (Diretor de Operações e Logística - Petromoc Maputo)</w:t>
      </w:r>
    </w:p>
    <w:p>
      <w:r>
        <w:t>Nota: Este documento contém exclusivamente as respostas estruturadas sob a ótica crítica e operacional.</w:t>
      </w:r>
    </w:p>
    <w:p>
      <w:r>
        <w:t>--------------------------------------------------</w:t>
      </w:r>
    </w:p>
    <w:p>
      <w:pPr>
        <w:pStyle w:val="Heading2"/>
      </w:pPr>
      <w:r>
        <w:t>Q1: Qual é a percentagem estimada dos custos logísticos face ao Valor de Venda ao Público (PVPR)?</w:t>
      </w:r>
    </w:p>
    <w:p>
      <w:r>
        <w:t>Resposta (Tom A): Tom A: Os custos logísticos rodam 38% a 44% devido a ineficiências rodoviárias extremas, estradas degradadas na EN1 e multas de atraso severas.</w:t>
      </w:r>
    </w:p>
    <w:p>
      <w:pPr>
        <w:pStyle w:val="Heading2"/>
      </w:pPr>
      <w:r>
        <w:t>Q2: Qual é a autonomia média de tancagem e armazenamento estratégico mantida?</w:t>
      </w:r>
    </w:p>
    <w:p>
      <w:r>
        <w:t>Resposta (Tom A): Tom A: Autonomia crítica de apenas 4 a 6 dias nas instalações provinciais, gerando alto risco de ruptura de stock perante bloqueios na via.</w:t>
      </w:r>
    </w:p>
    <w:p>
      <w:pPr>
        <w:pStyle w:val="Heading2"/>
      </w:pPr>
      <w:r>
        <w:t>Q3: Qual é o nível de adoção de sistemas de rastreamento GPS e telemetria na frota?</w:t>
      </w:r>
    </w:p>
    <w:p>
      <w:r>
        <w:t>Resposta (Tom A): Tom A: Apenas 30% da frota subcontratada possui telemetria ativa, facilitando furtos de combustível, desvios de rota e adulteração de carga.</w:t>
      </w:r>
    </w:p>
    <w:p>
      <w:pPr>
        <w:pStyle w:val="Heading2"/>
      </w:pPr>
      <w:r>
        <w:t>Q4: Qual é o grau de conformidade com a certificação ADR dos motoristas de mercadorias perigosas?</w:t>
      </w:r>
    </w:p>
    <w:p>
      <w:r>
        <w:t>Resposta (Tom A): Tom A: Menos de 15% dos motoristas independentes possuem certificação ADR válida, elevando drásticamente o risco de acidentes graves.</w:t>
      </w:r>
    </w:p>
    <w:p>
      <w:pPr>
        <w:pStyle w:val="Heading2"/>
      </w:pPr>
      <w:r>
        <w:t>Q5: Quais são as principais medidas corretivas exigidas para mitigar o paradoxo modal?</w:t>
      </w:r>
    </w:p>
    <w:p>
      <w:r>
        <w:t>Resposta (Tom A): Tom A: Reabilitação urgente da linha férrea Limpopo e Machipanda, construção de oleodutos nacionais e sanções severas a transportadoras informais.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