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Inquérito A - Direção e Gestão de Supply Chain - TOM B (PERSPETIVA ESTRATÉGICA E REFORMISTA)</w:t>
      </w:r>
    </w:p>
    <w:p>
      <w:r>
        <w:t>Respondente Auditado: Dr. Hélio Tembe (Supply Chain Manager - TotalEnergies Moçambique)</w:t>
      </w:r>
    </w:p>
    <w:p>
      <w:r>
        <w:t>Nota: Este documento contém exclusivamente as respostas estruturadas sob a ótica estratégica e reformista.</w:t>
      </w:r>
    </w:p>
    <w:p>
      <w:r>
        <w:t>--------------------------------------------------</w:t>
      </w:r>
    </w:p>
    <w:p>
      <w:pPr>
        <w:pStyle w:val="Heading2"/>
      </w:pPr>
      <w:r>
        <w:t>Q1: Qual é a percentagem estimada dos custos logísticos face ao Valor de Venda ao Público (PVPR)?</w:t>
      </w:r>
    </w:p>
    <w:p>
      <w:r>
        <w:t>Resposta (Tom B): Tom B: Situa-se em torno de 25% a 28%, beneficiando de economias de escala, embora com pressões sazonais durante a época chuvosa no centro e norte.</w:t>
      </w:r>
    </w:p>
    <w:p>
      <w:pPr>
        <w:pStyle w:val="Heading2"/>
      </w:pPr>
      <w:r>
        <w:t>Q2: Qual é a autonomia média de tancagem e armazenamento estratégico mantida?</w:t>
      </w:r>
    </w:p>
    <w:p>
      <w:r>
        <w:t>Resposta (Tom B): Tom B: Média robusta de 12 a 15 dias no terminal da Matola, garantindo estabilidade operacional enquanto decorrem reparações nos corredores.</w:t>
      </w:r>
    </w:p>
    <w:p>
      <w:pPr>
        <w:pStyle w:val="Heading2"/>
      </w:pPr>
      <w:r>
        <w:t>Q3: Qual é o nível de adoção de sistemas de rastreamento GPS e telemetria na frota?</w:t>
      </w:r>
    </w:p>
    <w:p>
      <w:r>
        <w:t>Resposta (Tom B): Tom B: As majores petrolíferas mantêm 80% de cobertura GPS nas frotas cativas, com monitorização em tempo real e centro de controlo integrado.</w:t>
      </w:r>
    </w:p>
    <w:p>
      <w:pPr>
        <w:pStyle w:val="Heading2"/>
      </w:pPr>
      <w:r>
        <w:t>Q4: Qual é o grau de conformidade com a certificação ADR dos motoristas de mercadorias perigosas?</w:t>
      </w:r>
    </w:p>
    <w:p>
      <w:r>
        <w:t>Resposta (Tom B): Tom B: Cerca de 50% de conformidade nas frotas principais, com programas de reciclagem anual e certificação reconhecida pelo INATTER.</w:t>
      </w:r>
    </w:p>
    <w:p>
      <w:pPr>
        <w:pStyle w:val="Heading2"/>
      </w:pPr>
      <w:r>
        <w:t>Q5: Quais são as principais medidas corretivas exigidas para mitigar o paradoxo modal?</w:t>
      </w:r>
    </w:p>
    <w:p>
      <w:r>
        <w:t>Resposta (Tom B): Tom B: Parcerias público-privadas com os CFM para aumento de vagões-cisterna e digitalização da Janela Única Portuária.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