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Inquérito B - Entidades Reguladoras e Gestores Públicos - TOM A (PERSPETIVA CRÍTICA E OPERACIONAL)</w:t>
      </w:r>
    </w:p>
    <w:p>
      <w:r>
        <w:t>Respondente Auditado: Dra. Maria Macamo (Diretora de Licenciamento e Fiscalização - ARENE)</w:t>
      </w:r>
    </w:p>
    <w:p>
      <w:r>
        <w:t>Nota: Este documento contém exclusivamente as respostas estruturadas sob a ótica crítica e operacional.</w:t>
      </w:r>
    </w:p>
    <w:p>
      <w:r>
        <w:t>--------------------------------------------------</w:t>
      </w:r>
    </w:p>
    <w:p>
      <w:pPr>
        <w:pStyle w:val="Heading2"/>
      </w:pPr>
      <w:r>
        <w:t>Q1: Como avalia a eficácia do atual quadro regulatório e tarifário na fixação de preços?</w:t>
      </w:r>
    </w:p>
    <w:p>
      <w:r>
        <w:t>Resposta (Tom A): Tom A: O mecanismo de fixação de preços é engessado e falha em absorver com agilidade a volatilidade cambial e os sobrecustos de frete.</w:t>
      </w:r>
    </w:p>
    <w:p>
      <w:pPr>
        <w:pStyle w:val="Heading2"/>
      </w:pPr>
      <w:r>
        <w:t>Q2: Quais são os principais entraves institucionais na coordenação entre alfândegas e portos?</w:t>
      </w:r>
    </w:p>
    <w:p>
      <w:r>
        <w:t>Resposta (Tom A): Tom A: Desalinhamento sistémico e lentidão nos despachos aduaneiros (AT), gerando congestionamentos portuários e custos excessivos de demurrage.</w:t>
      </w:r>
    </w:p>
    <w:p>
      <w:pPr>
        <w:pStyle w:val="Heading2"/>
      </w:pPr>
      <w:r>
        <w:t>Q3: Qual é o impacto da ausência de uma rede nacional de oleodutos no custo sistémico?</w:t>
      </w:r>
    </w:p>
    <w:p>
      <w:r>
        <w:t>Resposta (Tom A): Tom A: Impacto gravíssimo. A dependência rodoviária de 95% sobrecarrega a EN1, acelera a degradação asfáltica e encarece o combustível em 35%.</w:t>
      </w:r>
    </w:p>
    <w:p>
      <w:pPr>
        <w:pStyle w:val="Heading2"/>
      </w:pPr>
      <w:r>
        <w:t>Q4: Como são geridas as inspeções de segurança e licenciamento ambiental?</w:t>
      </w:r>
    </w:p>
    <w:p>
      <w:r>
        <w:t>Resposta (Tom A): Tom A: Fiscalização deficiente devido a falta de auditores HazMat e laboratórios móveis em todas as províncias do país.</w:t>
      </w:r>
    </w:p>
    <w:p>
      <w:pPr>
        <w:pStyle w:val="Heading2"/>
      </w:pPr>
      <w:r>
        <w:t>Q5: Quais são as diretrizes estratégicas do Estado para a transição modal até 2030?</w:t>
      </w:r>
    </w:p>
    <w:p>
      <w:r>
        <w:t>Resposta (Tom A): Tom A: Metas irreais no papel, carecendo de financiamento real e reabilitação física das linhas férreas do Centro e Norte.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