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Inquérito B - Entidades Reguladoras e Gestores Públicos - TOM B (PERSPETIVA ESTRATÉGICA E REFORMISTA)</w:t>
      </w:r>
    </w:p>
    <w:p>
      <w:r>
        <w:t>Respondente Auditado: Eng. Celso Nhantumbo (Diretor Nacional de Transportes - MTC)</w:t>
      </w:r>
    </w:p>
    <w:p>
      <w:r>
        <w:t>Nota: Este documento contém exclusivamente as respostas estruturadas sob a ótica estratégica e reformista.</w:t>
      </w:r>
    </w:p>
    <w:p>
      <w:r>
        <w:t>--------------------------------------------------</w:t>
      </w:r>
    </w:p>
    <w:p>
      <w:pPr>
        <w:pStyle w:val="Heading2"/>
      </w:pPr>
      <w:r>
        <w:t>Q1: Como avalia a eficácia do atual quadro regulatório e tarifário na fixação de preços?</w:t>
      </w:r>
    </w:p>
    <w:p>
      <w:r>
        <w:t>Resposta (Tom B): Tom B: O quadro regulatório assegura previsibilidade e proteção ao consumidor final, com revisões paramétricas alinhadas à conjuntura internacional.</w:t>
      </w:r>
    </w:p>
    <w:p>
      <w:pPr>
        <w:pStyle w:val="Heading2"/>
      </w:pPr>
      <w:r>
        <w:t>Q2: Quais são os principais entraves institucionais na coordenação entre alfândegas e portos?</w:t>
      </w:r>
    </w:p>
    <w:p>
      <w:r>
        <w:t>Resposta (Tom B): Tom B: Os controlos alfandegários rigorosos visam prevenir fraude fiscal, existindo comités conjuntos para simplificação de procedimentos eletrónicos.</w:t>
      </w:r>
    </w:p>
    <w:p>
      <w:pPr>
        <w:pStyle w:val="Heading2"/>
      </w:pPr>
      <w:r>
        <w:t>Q3: Qual é o impacto da ausência de uma rede nacional de oleodutos no custo sistémico?</w:t>
      </w:r>
    </w:p>
    <w:p>
      <w:r>
        <w:t>Resposta (Tom B): Tom B: A matriz logística atual equilibra-se entre rodovia e cabotagem marítima, sendo os oleodutos projetos estruturantes de longo prazo.</w:t>
      </w:r>
    </w:p>
    <w:p>
      <w:pPr>
        <w:pStyle w:val="Heading2"/>
      </w:pPr>
      <w:r>
        <w:t>Q4: Como são geridas as inspeções de segurança e licenciamento ambiental?</w:t>
      </w:r>
    </w:p>
    <w:p>
      <w:r>
        <w:t>Resposta (Tom B): Tom B: Processo de licenciamento regular com vistorias conjuntas entre MITA, ARENE e Bombeiros, conforme legislação em vigor.</w:t>
      </w:r>
    </w:p>
    <w:p>
      <w:pPr>
        <w:pStyle w:val="Heading2"/>
      </w:pPr>
      <w:r>
        <w:t>Q5: Quais são as diretrizes estratégicas do Estado para a transição modal até 2030?</w:t>
      </w:r>
    </w:p>
    <w:p>
      <w:r>
        <w:t>Resposta (Tom B): Tom B: Estratégia Nacional de Transportes visa elevar a quota ferroviária para 45%, atraindo concessões privadas para o CFM.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