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C - Operadores Frotistas Rodoviários - TOM B (PERSPETIVA ESTRATÉGICA E REFORMISTA)</w:t>
      </w:r>
    </w:p>
    <w:p>
      <w:r>
        <w:t>Respondente Auditado: Sr. Alberto Chissano (Diretor Operacional - Rodomar Logística Maputo)</w:t>
      </w:r>
    </w:p>
    <w:p>
      <w:r>
        <w:t>Nota: Este documento contém exclusivamente as respostas estruturadas sob a ótica estratégica e reformista.</w:t>
      </w:r>
    </w:p>
    <w:p>
      <w:r>
        <w:t>--------------------------------------------------</w:t>
      </w:r>
    </w:p>
    <w:p>
      <w:pPr>
        <w:pStyle w:val="Heading2"/>
      </w:pPr>
      <w:r>
        <w:t>Q1: Quais são os maiores custos operacionais suportados pelas frotas nas rodovias?</w:t>
      </w:r>
    </w:p>
    <w:p>
      <w:r>
        <w:t>Resposta (Tom B): Tom B: Custos com combustível, lubrificantes e salários de motoristas, representando a maior fatia do orçamento operacional diário.</w:t>
      </w:r>
    </w:p>
    <w:p>
      <w:pPr>
        <w:pStyle w:val="Heading2"/>
      </w:pPr>
      <w:r>
        <w:t>Q2: Qual é o tempo médio de trânsito e espera nos terminais portuários?</w:t>
      </w:r>
    </w:p>
    <w:p>
      <w:r>
        <w:t>Resposta (Tom B): Tom B: Varia entre 2 e 4 dias, dependendo do fluxo de navios-tanque e da disponibilidade de berços nos portos de Maputo e Beira.</w:t>
      </w:r>
    </w:p>
    <w:p>
      <w:pPr>
        <w:pStyle w:val="Heading2"/>
      </w:pPr>
      <w:r>
        <w:t>Q3: Quais são as principais dificuldades na contratação de motoristas qualificados?</w:t>
      </w:r>
    </w:p>
    <w:p>
      <w:r>
        <w:t>Resposta (Tom B): Tom B: Necessidade de investimento em centros de formação profissional para certificar novos motoristas de acordo com os padrões SADC.</w:t>
      </w:r>
    </w:p>
    <w:p>
      <w:pPr>
        <w:pStyle w:val="Heading2"/>
      </w:pPr>
      <w:r>
        <w:t>Q4: Como avalia o impacto de acidentes rodoviários na sustentabilidade do negócio?</w:t>
      </w:r>
    </w:p>
    <w:p>
      <w:r>
        <w:t>Resposta (Tom B): Tom B: Risco mitigado através de apólices de seguro de responsabilidade civil multirriscos e forte investimento em prevenção rodoviária.</w:t>
      </w:r>
    </w:p>
    <w:p>
      <w:pPr>
        <w:pStyle w:val="Heading2"/>
      </w:pPr>
      <w:r>
        <w:t>Q5: Qual é a perspetiva de renovação e modernização da frota de cisternas?</w:t>
      </w:r>
    </w:p>
    <w:p>
      <w:r>
        <w:t>Resposta (Tom B): Tom B: Renovação gradual da frota com unidades Euro V/VI equipadas com ABS e travagem inteligente para maior segurança operacional.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