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22.5%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13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 (ID RF01)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(40%), Certificação ADR (Sim) e Autonomia (13).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