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4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4,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13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4 (ID RF04)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(60%), Certificação ADR (Não) e Autonomia (13).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