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5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5,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24.5%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5 (ID RF05)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(40%), Certificação ADR (Sim) e Autonomia (12).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