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2240"/>
          <w:sz w:val="22"/>
        </w:rPr>
        <w:t>UNIVERSIDADE TÉCNICA DE MOÇAMBIQUE (UDM)</w:t>
        <w:br/>
        <w:t>FACULDADE DE ENGENHARIA E TECNOLOGIAS</w:t>
        <w:br/>
        <w:t>CURSO DE ENGENHARIA E GESTÃO LOGÍSTICA</w:t>
        <w:br/>
      </w:r>
    </w:p>
    <w:p>
      <w:r>
        <w:br/>
      </w:r>
    </w:p>
    <w:p>
      <w:pPr>
        <w:jc w:val="center"/>
      </w:pPr>
      <w:r>
        <w:rPr>
          <w:rFonts w:ascii="Arial" w:hAnsi="Arial"/>
          <w:b/>
          <w:color w:val="B42828"/>
          <w:sz w:val="24"/>
        </w:rPr>
        <w:t>DOCUMENTO DE RESPOSTAS EXPOSTAS DO INQUÉRITO N.º 02</w:t>
      </w:r>
    </w:p>
    <w:p>
      <w:pPr>
        <w:jc w:val="center"/>
      </w:pPr>
      <w:r>
        <w:rPr>
          <w:rFonts w:ascii="Arial" w:hAnsi="Arial"/>
          <w:b/>
          <w:color w:val="0F2240"/>
          <w:sz w:val="30"/>
        </w:rPr>
        <w:t>INQUÉRITO ÀS ENTIDADES REGULADORAS E ÓRGÃOS DO ESTADO</w:t>
      </w:r>
    </w:p>
    <w:p>
      <w:pPr>
        <w:jc w:val="center"/>
      </w:pPr>
      <w:r>
        <w:rPr>
          <w:rFonts w:ascii="Arial" w:hAnsi="Arial"/>
          <w:i/>
          <w:color w:val="505050"/>
          <w:sz w:val="21"/>
        </w:rPr>
        <w:t>Público-Alvo: Reguladores e Órgãos Estatais (INP, ARENE, MTC, CFM, AT/Alfândegas) | Metodologia: Respostas Expostas em Dois Tons (Crítico vs. Estratégico)</w:t>
      </w:r>
    </w:p>
    <w:p>
      <w:r>
        <w:br/>
        <w:br/>
      </w:r>
    </w:p>
    <w:p>
      <w:pPr>
        <w:pStyle w:val="Heading1"/>
      </w:pPr>
      <w:r>
        <w:t>APRESENTAÇÃO METODOLÓGICA</w:t>
      </w:r>
    </w:p>
    <w:p>
      <w:r>
        <w:t>Este documento apresenta de forma explícita e detalhada todas as perguntas e respetivas respostas do Inquérito às Entidades Reguladoras e Órgãos do Estado, estruturadas em dois tons distintos por respondente/painel: Tom A (Perspetiva Crítica e Operacional) e Tom B (Perspetiva Estratégica e Reformista). O objetivo é servir de guia orientador e demonstrativo para a organização dos dados qualitativos e quantitativos da monografia.</w:t>
      </w:r>
    </w:p>
    <w:p>
      <w:r>
        <w:br/>
      </w:r>
    </w:p>
    <w:p>
      <w:pPr>
        <w:pStyle w:val="Heading2"/>
      </w:pPr>
      <w:r>
        <w:t>Q1: Como avalia a eficácia do atual quadro regulatório e tarifário na fixação dos preços dos combustíveis?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O mecanismo de ajustamento de preços é engessado e não reflete com agilidade a volatilidade cambial e os custos reais de frete."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O quadro regulatório garante estabilidade macroeconômica, mas necessita de revisões paramétricas periódicas no Fundo de Compensação."</w:t>
      </w:r>
    </w:p>
    <w:p>
      <w:r>
        <w:br/>
      </w:r>
    </w:p>
    <w:p>
      <w:pPr>
        <w:pStyle w:val="Heading2"/>
      </w:pPr>
      <w:r>
        <w:t>Q2: Quais são os principais entraves institucionais na coordenação entre alfândegas, portos e reguladores de energia?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Falta de interoperabilidade nos sistemas eletrónicos aduaneiros (JUE), causando demoras alfandegárias e acumulação de demurrage."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Os procedimentos visam garantir rigor fiscal e segurança contra descaminhos, existindo comissões interministeriais em curso para otimização."</w:t>
      </w:r>
    </w:p>
    <w:p>
      <w:r>
        <w:br/>
      </w:r>
    </w:p>
    <w:p>
      <w:pPr>
        <w:pStyle w:val="Heading2"/>
      </w:pPr>
      <w:r>
        <w:t>Q3: Qual é o impacto da ausência de uma rede nacional de oleodutos no custo sistémico de transporte?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Impacto devastador. A dependência 95% rodoviária sobrecarrega a EN1, acelera a destruição asfáltica e eleva os custos de frete em 35%."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A rede ferroviária (CFM) e o transporte rodoviário cobrem as necessidades atuais, sendo os oleodutos investimentos de capital intensivo a longo prazo."</w:t>
      </w:r>
    </w:p>
    <w:p>
      <w:r>
        <w:br/>
      </w:r>
    </w:p>
    <w:p>
      <w:pPr>
        <w:pStyle w:val="Heading2"/>
      </w:pPr>
      <w:r>
        <w:t>Q4: Como são geridas as inspeções de segurança e licenciamento ambiental para terminais de armazenamento?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Inspeeções pontuais e limitadas por falta de recursos humanos qualificados e laboratórios móveis de fiscalização HazMat."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Auditorias anuais regulares em conformidade com o Regulamento de Instalações de Armazenamento de Produtos Petrolíferos."</w:t>
      </w:r>
    </w:p>
    <w:p>
      <w:r>
        <w:br/>
      </w:r>
    </w:p>
    <w:p>
      <w:pPr>
        <w:pStyle w:val="Heading2"/>
      </w:pPr>
      <w:r>
        <w:t>Q5: Quais são as diretrizes estratégicas do Estado para a transição modal (rodoviário para ferroviário) até 2030?</w:t>
      </w:r>
    </w:p>
    <w:p>
      <w:r>
        <w:rPr>
          <w:b/>
          <w:color w:val="B42828"/>
        </w:rPr>
        <w:t>• Resposta - Tom A (Perspetiva Crítica / Operacional):</w:t>
        <w:br/>
      </w:r>
      <w:r>
        <w:rPr>
          <w:i/>
        </w:rPr>
        <w:t xml:space="preserve">  "Tom A (Crítico): Metas ambiciosas sem suporte de investimento direto ou reabilitação robusta dos ramais ferroviários de Nacala e Limpopo."</w:t>
      </w:r>
    </w:p>
    <w:p>
      <w:r>
        <w:rPr>
          <w:b/>
          <w:color w:val="0F2240"/>
        </w:rPr>
        <w:t>• Resposta - Tom B (Perspetiva Estratégica / Reformista):</w:t>
        <w:br/>
      </w:r>
      <w:r>
        <w:rPr>
          <w:i/>
        </w:rPr>
        <w:t xml:space="preserve">  "Tom B (Estratégico): Plano Diretor de Transportes prioriza o aumento da quota ferroviária de 15% para 45% através de concessões privadas e reequipamento do CFM."</w:t>
      </w:r>
    </w:p>
    <w:p>
      <w:r>
        <w:br/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7"/>
      </w:rPr>
      <w:t>INQUÉRITO 02 | RESPOSTAS EXPOSTAS (2 TONS)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