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DOCUMENTO SUPORTE DE CAMPO N.º 02/2024</w:t>
      </w:r>
    </w:p>
    <w:p>
      <w:pPr>
        <w:jc w:val="center"/>
      </w:pPr>
      <w:r>
        <w:rPr>
          <w:rFonts w:ascii="Arial" w:hAnsi="Arial"/>
          <w:b/>
          <w:color w:val="0F2240"/>
          <w:sz w:val="32"/>
        </w:rPr>
        <w:t>AVALIAÇÃO INSTITUCIONAL DO QUADRO REGULATÓRIO, TARIFÁRIO E INFRAESTRUTURAL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Análise Quali-Quantitativa Junto dos Reguladores e Órgãos Estatais (N=5: INP, ARENE, MTC, CFM, AT/Alfândegas)</w:t>
      </w:r>
    </w:p>
    <w:p>
      <w:r>
        <w:br/>
        <w:br/>
      </w:r>
    </w:p>
    <w:p>
      <w:pPr>
        <w:jc w:val="left"/>
      </w:pPr>
      <w:r>
        <w:rPr>
          <w:rFonts w:ascii="Arial" w:hAnsi="Arial"/>
          <w:color w:val="282828"/>
          <w:sz w:val="19"/>
        </w:rPr>
        <w:t>Autora da Monografia: Shakyra Honoré Kamdoum Noussi</w:t>
        <w:br/>
        <w:t>Instituição: Universidade Técnica de Moçambique (UDM)</w:t>
        <w:br/>
        <w:t>Tema: O Paradoxo Modal na Logística de Combustíveis em Moçambique: Impactos Operacionais, Financeiros e Regulatórios da Dependência do Transporte Rodoviário (2015-2025)</w:t>
        <w:br/>
        <w:t>Data: Ano Académico de 2024 | Maputo, Moçambique</w:t>
        <w:br/>
        <w:t>Natureza do Ficheiro: Instrumento de Coleta Primária e Relatório de Validação Académica</w:t>
      </w:r>
    </w:p>
    <w:p>
      <w:r>
        <w:br w:type="page"/>
      </w:r>
    </w:p>
    <w:p>
      <w:pPr>
        <w:pStyle w:val="Heading1"/>
      </w:pPr>
      <w:r>
        <w:t>1. CARACTERIZAÇÃO DO PAINEL REGULATÓRIO (N=5)</w:t>
      </w:r>
    </w:p>
    <w:p>
      <w:r>
        <w:t>Este instrumento primário compila as declarações e dados técnicos recolhidos junto das entidades reguladoras e gestoras estatais do setor de energia e transportes em Moçambique. O objetivo consistiu em auditar os entraves regulatórios, falhas na liquidação do Fundo de Compensação de combustíveis, ausência de dutos nacionais e atrasos nas fronteiras.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Cód.</w:t>
            </w:r>
          </w:p>
        </w:tc>
        <w:tc>
          <w:tcPr>
            <w:tcW w:type="dxa" w:w="234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Entidade Reguladora</w:t>
            </w:r>
          </w:p>
        </w:tc>
        <w:tc>
          <w:tcPr>
            <w:tcW w:type="dxa" w:w="234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Representante / Função Auditada</w:t>
            </w:r>
          </w:p>
        </w:tc>
        <w:tc>
          <w:tcPr>
            <w:tcW w:type="dxa" w:w="2340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Área de Foco Auditada</w:t>
            </w:r>
          </w:p>
        </w:tc>
      </w:tr>
      <w:tr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RREG1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INP (Instituto Nacional de Petróleos)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Direção de Licenciamento &amp; Infraestruturas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Infraestruturas de Dutos e Tancagem Nacional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RREG2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ARENE (Autoridade Reguladora de Energia)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Direção de Tarifas e Economia dos Combustíveis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Fundo de Compensação e Estrutura de Custos</w:t>
            </w:r>
          </w:p>
        </w:tc>
      </w:tr>
      <w:tr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RREG3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MTC (Ministério dos Transportes e Com.)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Direção Nacional de Transportes e Infraestruturas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Plano Multimodal e Regulamentação Rodoviária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RREG4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CFM (Caminhos de Ferro de Moçambique)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Direção Operacional de Cargas e Vagões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Capacidade Ferroviária e Logística de Combustível</w:t>
            </w:r>
          </w:p>
        </w:tc>
      </w:tr>
      <w:tr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RREG5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 / Alfândegas de Moçambique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Direção de Operações Aduaneiras e Trânsito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Selagem Eletrónica, Scanners e Controlo Fronteiriço</w:t>
            </w:r>
          </w:p>
        </w:tc>
      </w:tr>
    </w:tbl>
    <w:p>
      <w:r>
        <w:br/>
      </w:r>
    </w:p>
    <w:p>
      <w:pPr>
        <w:pStyle w:val="Heading1"/>
      </w:pPr>
      <w:r>
        <w:t>2. DEPOIMENTOS AUDITADOS E ANÁLISE IMPACTO REGULATÓRIO</w:t>
      </w:r>
    </w:p>
    <w:p>
      <w:pPr>
        <w:pStyle w:val="Heading2"/>
      </w:pPr>
      <w:r>
        <w:t>RREG1 - INP</w:t>
      </w:r>
    </w:p>
    <w:p>
      <w:pPr>
        <w:ind w:left="288"/>
      </w:pPr>
      <w:r>
        <w:t>Existe apenas 1 oleoduto operacional em Moçambique, a linha Beira-Harare (CPPM), direcionada ao Zimbábue. Não há qualquer pipeline interno planeado para execução antes de 2028 por falta de dotação orçamental direta do Estado. A expansão da tancagem em Nacala depende de Parcerias Público-Privadas (PPPs) privadas, mas o processo de licenciamento ambiental e concessão de terra arrasta-se por mais de 24 meses.</w:t>
      </w:r>
    </w:p>
    <w:p>
      <w:pPr>
        <w:pStyle w:val="Heading2"/>
      </w:pPr>
      <w:r>
        <w:t>RREG2 - ARENE</w:t>
      </w:r>
    </w:p>
    <w:p>
      <w:pPr>
        <w:ind w:left="288"/>
      </w:pPr>
      <w:r>
        <w:t>As tarifas reguladas reconhecem teoricamente os custos de frete rodoviário, contudo, o Fundo de Compensação acumula atrasos de liquidação às distribuidoras superiores a 90 dias. Isso estrangula o capital de giro das operadoras. Além disso, os custos astronómicos de dragagem do Porto da Beira pressionam as taxas portuárias. Constatamos que menos de 30% dos motoristas de camiões-cisterna possuem certificação ADR válida para transporte de mercadorias perigosas.</w:t>
      </w:r>
    </w:p>
    <w:p>
      <w:pPr>
        <w:pStyle w:val="Heading2"/>
      </w:pPr>
      <w:r>
        <w:t>RREG3 - MTC</w:t>
      </w:r>
    </w:p>
    <w:p>
      <w:pPr>
        <w:ind w:left="288"/>
      </w:pPr>
      <w:r>
        <w:t>A dependência do transporte rodoviário em 60-65% da matriz de combustíveis é uma fragilidade estratégica. O Plano Nacional de Transporte Multimodal permanece no papel por défice de financiamento. A proposta de banir veículos pesados com mais de 20 anos encontra forte resistência dos lobbies dos frotistas privados.</w:t>
      </w:r>
    </w:p>
    <w:p>
      <w:pPr>
        <w:pStyle w:val="Heading2"/>
      </w:pPr>
      <w:r>
        <w:t>RREG4 - CFM</w:t>
      </w:r>
    </w:p>
    <w:p>
      <w:pPr>
        <w:ind w:left="288"/>
      </w:pPr>
      <w:r>
        <w:t>O CFM priorizou historicamente o transporte de minérios (carvão) e carga geral. A frota de vagões-cisterna próprios é insuficiente para responder à procura crescente de combustíveis líquidos. Embora o corredor Beira-Zimbábue e Beira-Maláui tenham capacidade férrea, o carregamento nos terminais marítimos sofre estrangulamentos na interface aduaneira.</w:t>
      </w:r>
    </w:p>
    <w:p>
      <w:pPr>
        <w:pStyle w:val="Heading2"/>
      </w:pPr>
      <w:r>
        <w:t>RREG5 - AT / Alfândegas</w:t>
      </w:r>
    </w:p>
    <w:p>
      <w:pPr>
        <w:ind w:left="288"/>
      </w:pPr>
      <w:r>
        <w:t>A selagem eletrónica de camiões-cisterna reduziu as infrações diretas nas vias principais, mas o desvio ocorre em rotas secundárias e postos informais. A inspecção por scanners reduziu o tempo de verificação física, contudo, as filas e esperas nas fronteiras de Machipanda e Ressano Garcia chegam a 72 horas nos picos de tráfego.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Monografia de Licenciatura - Shakyra Honoré Kamdoum Noussi (2015-2025)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UNIVERSIDADE TÉCNICA DE MOÇAMBIQUE | RELATÓRIO 02 - ENTIDADES REGULADORAS E ESTADO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