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05/2024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MATRIZ DE RISCOS FMEA E ANÁLISE DE RESILIÊNCIA DOS CORREDORES LOGÍSTICOS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Avaliação dos Modos de Falha, Risk Priority Numbers (RPN), Radar Multidimensional e Análise de Gaps Infraestruturais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AVALIAÇÃO FMEA DOS MODOS DE FALHA SISTÉMICOS</w:t>
      </w:r>
    </w:p>
    <w:p>
      <w:r>
        <w:t>A metodologia FMEA (Failure Mode and Effects Analysis) permitiu quantificar os fatores de risco crítico que afetam o transporte de combustíveis. O RPN (Risk Priority Number) foi calculado como o produto entre Severidade (S: 1-10), Ocorrência (O: 1-10) e Detetabilidade (D: 1-10).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Modo de Falha Auditado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Severidade (S)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Ocorrência (O)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Detetabilidade (D)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RPN Calculado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Nível de Risco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Sinistralidade Rodoviária (Acidentes com Cisternas)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9,2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8,8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688,2 (78,2%)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CRÍTICO EXTREMO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 Furtos, Desvios e Adulteração de Combustível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9,0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7,8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596,7 (70,2%)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ALTO / CRÍTICO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 Eventos Climáticos e Ciclones na EN1/EN6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8,8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7,5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7,2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475,2 (59,5%)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 Contaminação Hídrica por Derrames em Vias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9,5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4,2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323,2 (39,1%)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MÉDIO-ALTO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5. Falhas Cibernéticas e Sabotagem em Terminais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8,0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3,5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7,8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218,4 (26,1%)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6. Derrames Operacionais nos Terminais Portuários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7,5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4,0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5,5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165,0 (20,8%)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MÉDIO-BAIXO</w:t>
            </w:r>
          </w:p>
        </w:tc>
      </w:tr>
    </w:tbl>
    <w:p>
      <w:r>
        <w:br/>
      </w:r>
    </w:p>
    <w:p>
      <w:pPr>
        <w:pStyle w:val="Heading1"/>
      </w:pPr>
      <w:r>
        <w:t>2. ANÁLISE DE GAPS E RECOMENDAÇÕES ESTRATÉGICAS</w:t>
      </w:r>
    </w:p>
    <w:p>
      <w:r>
        <w:t>A transição para um modelo sustentável exige colmatar os seguintes pontos críticos (Gaps Infraestruturais e Tecnológicos):</w:t>
        <w:br/>
        <w:t>• Cobertura por Oleodutos Internos: Nível atual de 5% vs. Necessário de 80% (Gap de 75 pp).</w:t>
        <w:br/>
        <w:t>• Monitorização SCADA/IoT nas Frotas: Nível atual de 15% vs. Necessário de 90% (Gap de 75 pp).</w:t>
        <w:br/>
        <w:t>• Equipamentos de Emergência HazMat: Nível atual de 10% vs. Necessário de 85% (Gap de 75 pp).</w:t>
        <w:br/>
        <w:t>• Certificação ADR de Motoristas: Nível atual de 12% vs. Necessário de 80% (Gap de 68 pp).</w:t>
        <w:br/>
        <w:t>• Janela Única Portuária Integrada: Nível atual de 40% vs. Necessário de 95% (Gap de 55 pp).</w:t>
        <w:br/>
        <w:t>• Frota Ferroviária de Vagões-Cisterna: Nível atual de 25% vs. Necessário de 75% (Gap de 50 pp).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05 - MATRIZ DE RISCOS FMEA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