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Base de Extração de Dados</w:t>
      </w:r>
    </w:p>
    <w:p>
      <w:r>
        <w:t xml:space="preserve">Este documento oficial serve como fonte primária de dados para a elaboração dos gráficos, tabelas e análises apresentadas no trabalho final. </w:t>
      </w:r>
    </w:p>
    <w:p>
      <w:pPr>
        <w:pStyle w:val="Heading1"/>
      </w:pPr>
      <w:r>
        <w:t>1. Dados Tabulares Consolidados</w:t>
      </w:r>
    </w:p>
    <w:p>
      <w:pPr>
        <w:pStyle w:val="Heading2"/>
      </w:pPr>
      <w:r>
        <w:t>Fonte da Tabela_1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DESAFIOS NA LOGÍSTICA DE TRANSPORTE DE PETRÓLEO E DERIVADOS EM MOÇAMBIQUE: 2015-2025</w:t>
              <w:br/>
              <w:br/>
              <w:t>Monografia apresentada em cumprimento parcial dos requisitos exigidos para obtenção do grau de Licenciatura em Engenharia e Gestão de Recursos Petrolíferos na Universidade Técnica de Moçambique</w:t>
              <w:br/>
              <w:br/>
              <w:br/>
              <w:t>SHAKYRA HONORÉ KAMDOUM NOUSSI</w:t>
              <w:br/>
              <w:br/>
              <w:br/>
              <w:br/>
              <w:br/>
              <w:br/>
              <w:t>Maputo, 2026</w:t>
            </w:r>
          </w:p>
        </w:tc>
      </w:tr>
    </w:tbl>
    <w:p>
      <w:pPr>
        <w:pStyle w:val="Heading2"/>
      </w:pPr>
      <w:r>
        <w:t>Fonte da Tabela_2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DESAFIOS NA LOGÍSTICA DE TRANSPORTE DE PETRÓLEO E DERIVADOS EM MOÇAMBIQUE: 2015-2025</w:t>
              <w:br/>
              <w:br/>
              <w:t>Monografia apresentada em cumprimento parcial dos requisitos exigidos para obtenção do grau de Licenciatura em Engenharia e Gestão de Recursos Petrolíferos na Universidade Técnica de Moçambique</w:t>
              <w:br/>
              <w:t>Por:</w:t>
              <w:br/>
              <w:t>SHAKYRA HONORÉ KAMDOUM NOUSSI</w:t>
              <w:br/>
              <w:br/>
              <w:t>LICENCIATURA EM ENGENHARIA E GESTÃO DE RECURSOS PETROLÍFEROS</w:t>
              <w:br/>
              <w:t>UNIVERSIDADE TÉCNICA DE MOÇAMBIQUE</w:t>
              <w:br/>
              <w:t>FACULDADE DE CIÊNCIAS TECNOLÓGICAS</w:t>
              <w:br/>
              <w:br/>
              <w:t xml:space="preserve">Tutor: Msc. Lucas Herbert Mungondo  </w:t>
              <w:br/>
              <w:br/>
              <w:t>Maputo, Setembro de 2026</w:t>
              <w:br/>
              <w:br/>
              <w:t>O JÚRI</w:t>
              <w:br/>
              <w:t xml:space="preserve">        O Presidente                                     O Tutor                                       O Arguente</w:t>
              <w:tab/>
              <w:br/>
              <w:br/>
              <w:t>___________________              ____________________                 ___________________</w:t>
            </w:r>
          </w:p>
        </w:tc>
      </w:tr>
    </w:tbl>
    <w:p>
      <w:pPr>
        <w:pStyle w:val="Heading2"/>
      </w:pPr>
      <w:r>
        <w:t>Fonte da Tabela_3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AfDB</w:t>
            </w:r>
          </w:p>
        </w:tc>
        <w:tc>
          <w:tcPr>
            <w:tcW w:type="dxa" w:w="4320"/>
          </w:tcPr>
          <w:p>
            <w:r>
              <w:t>African Development Bank (Banco Africano de Desenvolvimento (BAD))</w:t>
            </w:r>
          </w:p>
        </w:tc>
      </w:tr>
      <w:tr>
        <w:tc>
          <w:tcPr>
            <w:tcW w:type="dxa" w:w="4320"/>
          </w:tcPr>
          <w:p>
            <w:r>
              <w:t>ERP</w:t>
            </w:r>
          </w:p>
        </w:tc>
        <w:tc>
          <w:tcPr>
            <w:tcW w:type="dxa" w:w="4320"/>
          </w:tcPr>
          <w:p>
            <w:r>
              <w:t>Enterprise Resource Planning (Planeamento de Recursos Empresariais)</w:t>
            </w:r>
          </w:p>
        </w:tc>
      </w:tr>
      <w:tr>
        <w:tc>
          <w:tcPr>
            <w:tcW w:type="dxa" w:w="4320"/>
          </w:tcPr>
          <w:p>
            <w:r>
              <w:t>FMS</w:t>
            </w:r>
          </w:p>
        </w:tc>
        <w:tc>
          <w:tcPr>
            <w:tcW w:type="dxa" w:w="4320"/>
          </w:tcPr>
          <w:p>
            <w:r>
              <w:t>Fleet Management System (Sistema de Gestão de Frotas)</w:t>
            </w:r>
          </w:p>
        </w:tc>
      </w:tr>
      <w:tr>
        <w:tc>
          <w:tcPr>
            <w:tcW w:type="dxa" w:w="4320"/>
          </w:tcPr>
          <w:p>
            <w:r>
              <w:t>HazMat</w:t>
            </w:r>
          </w:p>
        </w:tc>
        <w:tc>
          <w:tcPr>
            <w:tcW w:type="dxa" w:w="4320"/>
          </w:tcPr>
          <w:p>
            <w:r>
              <w:t>Hazardous Materials (Materiais Perigosos)</w:t>
            </w:r>
          </w:p>
        </w:tc>
      </w:tr>
      <w:tr>
        <w:tc>
          <w:tcPr>
            <w:tcW w:type="dxa" w:w="4320"/>
          </w:tcPr>
          <w:p>
            <w:r>
              <w:t>HSSE</w:t>
            </w:r>
          </w:p>
        </w:tc>
        <w:tc>
          <w:tcPr>
            <w:tcW w:type="dxa" w:w="4320"/>
          </w:tcPr>
          <w:p>
            <w:r>
              <w:t>Health, Safety, Security, and Environment (Saúde, Segurança, Protecção e Ambiente)</w:t>
            </w:r>
          </w:p>
        </w:tc>
      </w:tr>
      <w:tr>
        <w:tc>
          <w:tcPr>
            <w:tcW w:type="dxa" w:w="4320"/>
          </w:tcPr>
          <w:p>
            <w:r>
              <w:t>IEA</w:t>
            </w:r>
          </w:p>
        </w:tc>
        <w:tc>
          <w:tcPr>
            <w:tcW w:type="dxa" w:w="4320"/>
          </w:tcPr>
          <w:p>
            <w:r>
              <w:t>International Energy Agency (Agência Internacional de Energia (AIE))</w:t>
            </w:r>
          </w:p>
        </w:tc>
      </w:tr>
      <w:tr>
        <w:tc>
          <w:tcPr>
            <w:tcW w:type="dxa" w:w="4320"/>
          </w:tcPr>
          <w:p>
            <w:r>
              <w:t>IMO</w:t>
            </w:r>
          </w:p>
        </w:tc>
        <w:tc>
          <w:tcPr>
            <w:tcW w:type="dxa" w:w="4320"/>
          </w:tcPr>
          <w:p>
            <w:r>
              <w:t>International Maritime Organization (Organização Marítima Internacional)</w:t>
            </w:r>
          </w:p>
        </w:tc>
      </w:tr>
      <w:tr>
        <w:tc>
          <w:tcPr>
            <w:tcW w:type="dxa" w:w="4320"/>
          </w:tcPr>
          <w:p>
            <w:r>
              <w:t>IoT</w:t>
            </w:r>
          </w:p>
        </w:tc>
        <w:tc>
          <w:tcPr>
            <w:tcW w:type="dxa" w:w="4320"/>
          </w:tcPr>
          <w:p>
            <w:r>
              <w:t>Internet of Things (Internet das Coisas)</w:t>
            </w:r>
          </w:p>
        </w:tc>
      </w:tr>
      <w:tr>
        <w:tc>
          <w:tcPr>
            <w:tcW w:type="dxa" w:w="4320"/>
          </w:tcPr>
          <w:p>
            <w:r>
              <w:t>LNG</w:t>
            </w:r>
          </w:p>
        </w:tc>
        <w:tc>
          <w:tcPr>
            <w:tcW w:type="dxa" w:w="4320"/>
          </w:tcPr>
          <w:p>
            <w:r>
              <w:t>Liquefied Natural Gas (Gás Natural Liquefeito (GNL))</w:t>
            </w:r>
          </w:p>
        </w:tc>
      </w:tr>
      <w:tr>
        <w:tc>
          <w:tcPr>
            <w:tcW w:type="dxa" w:w="4320"/>
          </w:tcPr>
          <w:p>
            <w:r>
              <w:t>LPI</w:t>
            </w:r>
          </w:p>
        </w:tc>
        <w:tc>
          <w:tcPr>
            <w:tcW w:type="dxa" w:w="4320"/>
          </w:tcPr>
          <w:p>
            <w:r>
              <w:t>Logistics Performance Index (Índice de Desempenho Logístico)</w:t>
            </w:r>
          </w:p>
        </w:tc>
      </w:tr>
      <w:tr>
        <w:tc>
          <w:tcPr>
            <w:tcW w:type="dxa" w:w="4320"/>
          </w:tcPr>
          <w:p>
            <w:r>
              <w:t>OPEX</w:t>
            </w:r>
          </w:p>
        </w:tc>
        <w:tc>
          <w:tcPr>
            <w:tcW w:type="dxa" w:w="4320"/>
          </w:tcPr>
          <w:p>
            <w:r>
              <w:t>Operational Expenditure (Despesas Operacionais)</w:t>
            </w:r>
          </w:p>
        </w:tc>
      </w:tr>
      <w:tr>
        <w:tc>
          <w:tcPr>
            <w:tcW w:type="dxa" w:w="4320"/>
          </w:tcPr>
          <w:p>
            <w:r>
              <w:t>SCADA</w:t>
            </w:r>
          </w:p>
        </w:tc>
        <w:tc>
          <w:tcPr>
            <w:tcW w:type="dxa" w:w="4320"/>
          </w:tcPr>
          <w:p>
            <w:r>
              <w:t>Supervisory Control and Data Acquisition (Sistema de Supervisão, Controlo e Aquisição de Dados)</w:t>
            </w:r>
          </w:p>
        </w:tc>
      </w:tr>
      <w:tr>
        <w:tc>
          <w:tcPr>
            <w:tcW w:type="dxa" w:w="4320"/>
          </w:tcPr>
          <w:p>
            <w:r>
              <w:t>SCM</w:t>
            </w:r>
          </w:p>
        </w:tc>
        <w:tc>
          <w:tcPr>
            <w:tcW w:type="dxa" w:w="4320"/>
          </w:tcPr>
          <w:p>
            <w:r>
              <w:t>Supply Chain Management (Gestão da Cadeia de Suprimentos)</w:t>
            </w:r>
          </w:p>
        </w:tc>
      </w:tr>
      <w:tr>
        <w:tc>
          <w:tcPr>
            <w:tcW w:type="dxa" w:w="4320"/>
          </w:tcPr>
          <w:p>
            <w:r>
              <w:t>UNCTAD</w:t>
              <w:br/>
              <w:br/>
              <w:t>BAD</w:t>
              <w:br/>
              <w:t>CFM</w:t>
              <w:br/>
              <w:t>ENH</w:t>
              <w:br/>
              <w:t xml:space="preserve">INP ARENE        </w:t>
              <w:br/>
              <w:t xml:space="preserve">MIREME MTC MPDC SADC GGD ADR </w:t>
              <w:br/>
              <w:br/>
              <w:t xml:space="preserve">PPP </w:t>
              <w:br/>
              <w:t xml:space="preserve">CAF </w:t>
              <w:br/>
              <w:t>GNL</w:t>
            </w:r>
          </w:p>
        </w:tc>
        <w:tc>
          <w:tcPr>
            <w:tcW w:type="dxa" w:w="4320"/>
          </w:tcPr>
          <w:p>
            <w:r>
              <w:t>United Nations Conference on Trade and Development (Conferência das Nações Unidas sobre Comércio e Desenvolvimento)</w:t>
              <w:br/>
              <w:t>Banco Africano de Desenvolvimento</w:t>
              <w:br/>
              <w:t>Caminhos de Ferro de Moçambique</w:t>
              <w:br/>
              <w:t>Empresa Nacional de Hidrocarbonetos</w:t>
              <w:br/>
              <w:t xml:space="preserve">  Instituto Nacional de Petróleo</w:t>
              <w:br/>
              <w:t>Autoridade Reguladora de Energia</w:t>
              <w:br/>
              <w:t>Ministério dos Recursos Minerais e Energia</w:t>
              <w:br/>
              <w:t>Ministério dos Transportes e Comunicações</w:t>
              <w:br/>
              <w:t>Maputo Port Development Company</w:t>
              <w:br/>
              <w:t>Comunidade de Desenvolvimento da África Austral</w:t>
              <w:br/>
              <w:t>Gestão de Geodesia e Dados</w:t>
              <w:br/>
              <w:t>Acordo Europeu Relativo ao Transporte Internacional de Mercadorias Perigosas por Estrada</w:t>
              <w:br/>
              <w:t xml:space="preserve">  </w:t>
              <w:br/>
              <w:t>Parcerias Público-Privadas</w:t>
              <w:br/>
              <w:t>Conselho de Administração Fiscal</w:t>
              <w:br/>
              <w:t xml:space="preserve"> Gás Natural Liquefeito</w:t>
            </w:r>
          </w:p>
        </w:tc>
      </w:tr>
    </w:tbl>
    <w:p>
      <w:pPr>
        <w:pStyle w:val="Heading2"/>
      </w:pPr>
      <w:r>
        <w:t>Fonte da Tabela_4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Corredor Sul (Maputo)</w:t>
            </w:r>
          </w:p>
        </w:tc>
        <w:tc>
          <w:tcPr>
            <w:tcW w:type="dxa" w:w="2160"/>
          </w:tcPr>
          <w:p>
            <w:r>
              <w:t>Corredor Centro (Beira)</w:t>
            </w:r>
          </w:p>
        </w:tc>
        <w:tc>
          <w:tcPr>
            <w:tcW w:type="dxa" w:w="2160"/>
          </w:tcPr>
          <w:p>
            <w:r>
              <w:t>Corredor Norte (Nacala)</w:t>
            </w:r>
          </w:p>
        </w:tc>
      </w:tr>
      <w:tr>
        <w:tc>
          <w:tcPr>
            <w:tcW w:type="dxa" w:w="2160"/>
          </w:tcPr>
          <w:p>
            <w:r>
              <w:t>Tempo médio de descarregamento (dias)</w:t>
            </w:r>
          </w:p>
        </w:tc>
        <w:tc>
          <w:tcPr>
            <w:tcW w:type="dxa" w:w="2160"/>
          </w:tcPr>
          <w:p>
            <w:r>
              <w:t>2-3</w:t>
            </w:r>
          </w:p>
        </w:tc>
        <w:tc>
          <w:tcPr>
            <w:tcW w:type="dxa" w:w="2160"/>
          </w:tcPr>
          <w:p>
            <w:r>
              <w:t>4-6</w:t>
            </w:r>
          </w:p>
        </w:tc>
        <w:tc>
          <w:tcPr>
            <w:tcW w:type="dxa" w:w="2160"/>
          </w:tcPr>
          <w:p>
            <w:r>
              <w:t>3-5</w:t>
            </w:r>
          </w:p>
        </w:tc>
      </w:tr>
      <w:tr>
        <w:tc>
          <w:tcPr>
            <w:tcW w:type="dxa" w:w="2160"/>
          </w:tcPr>
          <w:p>
            <w:r>
              <w:t>Taxa de ocupação do terminal (%)</w:t>
            </w:r>
          </w:p>
        </w:tc>
        <w:tc>
          <w:tcPr>
            <w:tcW w:type="dxa" w:w="2160"/>
          </w:tcPr>
          <w:p>
            <w:r>
              <w:t>85-92</w:t>
            </w:r>
          </w:p>
        </w:tc>
        <w:tc>
          <w:tcPr>
            <w:tcW w:type="dxa" w:w="2160"/>
          </w:tcPr>
          <w:p>
            <w:r>
              <w:t>70-80</w:t>
            </w:r>
          </w:p>
        </w:tc>
        <w:tc>
          <w:tcPr>
            <w:tcW w:type="dxa" w:w="2160"/>
          </w:tcPr>
          <w:p>
            <w:r>
              <w:t>40-55</w:t>
            </w:r>
          </w:p>
        </w:tc>
      </w:tr>
      <w:tr>
        <w:tc>
          <w:tcPr>
            <w:tcW w:type="dxa" w:w="2160"/>
          </w:tcPr>
          <w:p>
            <w:r>
              <w:t>Autonomia de tancagem (dias)</w:t>
            </w:r>
          </w:p>
        </w:tc>
        <w:tc>
          <w:tcPr>
            <w:tcW w:type="dxa" w:w="2160"/>
          </w:tcPr>
          <w:p>
            <w:r>
              <w:t>12-15</w:t>
            </w:r>
          </w:p>
        </w:tc>
        <w:tc>
          <w:tcPr>
            <w:tcW w:type="dxa" w:w="2160"/>
          </w:tcPr>
          <w:p>
            <w:r>
              <w:t>8-10</w:t>
            </w:r>
          </w:p>
        </w:tc>
        <w:tc>
          <w:tcPr>
            <w:tcW w:type="dxa" w:w="2160"/>
          </w:tcPr>
          <w:p>
            <w:r>
              <w:t>5-7</w:t>
            </w:r>
          </w:p>
        </w:tc>
      </w:tr>
      <w:tr>
        <w:tc>
          <w:tcPr>
            <w:tcW w:type="dxa" w:w="2160"/>
          </w:tcPr>
          <w:p>
            <w:r>
              <w:t>Disponibilidade ferroviária (%)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Incidentes registados/ano</w:t>
            </w:r>
          </w:p>
        </w:tc>
        <w:tc>
          <w:tcPr>
            <w:tcW w:type="dxa" w:w="2160"/>
          </w:tcPr>
          <w:p>
            <w:r>
              <w:t>35-50</w:t>
            </w:r>
          </w:p>
        </w:tc>
        <w:tc>
          <w:tcPr>
            <w:tcW w:type="dxa" w:w="2160"/>
          </w:tcPr>
          <w:p>
            <w:r>
              <w:t>55-75</w:t>
            </w:r>
          </w:p>
        </w:tc>
        <w:tc>
          <w:tcPr>
            <w:tcW w:type="dxa" w:w="2160"/>
          </w:tcPr>
          <w:p>
            <w:r>
              <w:t>25-40</w:t>
            </w:r>
          </w:p>
        </w:tc>
      </w:tr>
      <w:tr>
        <w:tc>
          <w:tcPr>
            <w:tcW w:type="dxa" w:w="2160"/>
          </w:tcPr>
          <w:p>
            <w:r>
              <w:t>Custo logístico (USD/ton)</w:t>
            </w:r>
          </w:p>
        </w:tc>
        <w:tc>
          <w:tcPr>
            <w:tcW w:type="dxa" w:w="2160"/>
          </w:tcPr>
          <w:p>
            <w:r>
              <w:t>45-55</w:t>
            </w:r>
          </w:p>
        </w:tc>
        <w:tc>
          <w:tcPr>
            <w:tcW w:type="dxa" w:w="2160"/>
          </w:tcPr>
          <w:p>
            <w:r>
              <w:t>65-80</w:t>
            </w:r>
          </w:p>
        </w:tc>
        <w:tc>
          <w:tcPr>
            <w:tcW w:type="dxa" w:w="2160"/>
          </w:tcPr>
          <w:p>
            <w:r>
              <w:t>85-110</w:t>
            </w:r>
          </w:p>
        </w:tc>
      </w:tr>
    </w:tbl>
    <w:p>
      <w:pPr>
        <w:pStyle w:val="Heading2"/>
      </w:pPr>
      <w:r>
        <w:t>Fonte da Tabela_5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Fonte de Ineficiência</w:t>
            </w:r>
          </w:p>
        </w:tc>
        <w:tc>
          <w:tcPr>
            <w:tcW w:type="dxa" w:w="2160"/>
          </w:tcPr>
          <w:p>
            <w:r>
              <w:t>Perda Anual Estimada (USD mi)</w:t>
            </w:r>
          </w:p>
        </w:tc>
        <w:tc>
          <w:tcPr>
            <w:tcW w:type="dxa" w:w="2160"/>
          </w:tcPr>
          <w:p>
            <w:r>
              <w:t>% do Custo Logístico Total</w:t>
            </w:r>
          </w:p>
        </w:tc>
        <w:tc>
          <w:tcPr>
            <w:tcW w:type="dxa" w:w="2160"/>
          </w:tcPr>
          <w:p>
            <w:r>
              <w:t>Tendência (2015-2025)</w:t>
            </w:r>
          </w:p>
        </w:tc>
      </w:tr>
      <w:tr>
        <w:tc>
          <w:tcPr>
            <w:tcW w:type="dxa" w:w="2160"/>
          </w:tcPr>
          <w:p>
            <w:r>
              <w:t>Custo excessivo do frete rodoviário</w:t>
            </w:r>
          </w:p>
        </w:tc>
        <w:tc>
          <w:tcPr>
            <w:tcW w:type="dxa" w:w="2160"/>
          </w:tcPr>
          <w:p>
            <w:r>
              <w:t>75-95</w:t>
            </w:r>
          </w:p>
        </w:tc>
        <w:tc>
          <w:tcPr>
            <w:tcW w:type="dxa" w:w="2160"/>
          </w:tcPr>
          <w:p>
            <w:r>
              <w:t>38-42%</w:t>
            </w:r>
          </w:p>
        </w:tc>
        <w:tc>
          <w:tcPr>
            <w:tcW w:type="dxa" w:w="2160"/>
          </w:tcPr>
          <w:p>
            <w:r>
              <w:t>Crescente (+85%)</w:t>
            </w:r>
          </w:p>
        </w:tc>
      </w:tr>
      <w:tr>
        <w:tc>
          <w:tcPr>
            <w:tcW w:type="dxa" w:w="2160"/>
          </w:tcPr>
          <w:p>
            <w:r>
              <w:t>Demurrage e atrasos portuários</w:t>
            </w:r>
          </w:p>
        </w:tc>
        <w:tc>
          <w:tcPr>
            <w:tcW w:type="dxa" w:w="2160"/>
          </w:tcPr>
          <w:p>
            <w:r>
              <w:t>25-40</w:t>
            </w:r>
          </w:p>
        </w:tc>
        <w:tc>
          <w:tcPr>
            <w:tcW w:type="dxa" w:w="2160"/>
          </w:tcPr>
          <w:p>
            <w:r>
              <w:t>12-16%</w:t>
            </w:r>
          </w:p>
        </w:tc>
        <w:tc>
          <w:tcPr>
            <w:tcW w:type="dxa" w:w="2160"/>
          </w:tcPr>
          <w:p>
            <w:r>
              <w:t>Crescente (+180%)</w:t>
            </w:r>
          </w:p>
        </w:tc>
      </w:tr>
      <w:tr>
        <w:tc>
          <w:tcPr>
            <w:tcW w:type="dxa" w:w="2160"/>
          </w:tcPr>
          <w:p>
            <w:r>
              <w:t>Perdas por furtos e desvios</w:t>
            </w:r>
          </w:p>
        </w:tc>
        <w:tc>
          <w:tcPr>
            <w:tcW w:type="dxa" w:w="2160"/>
          </w:tcPr>
          <w:p>
            <w:r>
              <w:t>30-45</w:t>
            </w:r>
          </w:p>
        </w:tc>
        <w:tc>
          <w:tcPr>
            <w:tcW w:type="dxa" w:w="2160"/>
          </w:tcPr>
          <w:p>
            <w:r>
              <w:t>15-18%</w:t>
            </w:r>
          </w:p>
        </w:tc>
        <w:tc>
          <w:tcPr>
            <w:tcW w:type="dxa" w:w="2160"/>
          </w:tcPr>
          <w:p>
            <w:r>
              <w:t>Crescente (+260%)</w:t>
            </w:r>
          </w:p>
        </w:tc>
      </w:tr>
      <w:tr>
        <w:tc>
          <w:tcPr>
            <w:tcW w:type="dxa" w:w="2160"/>
          </w:tcPr>
          <w:p>
            <w:r>
              <w:t>Derrames e remediação ambiental</w:t>
            </w:r>
          </w:p>
        </w:tc>
        <w:tc>
          <w:tcPr>
            <w:tcW w:type="dxa" w:w="2160"/>
          </w:tcPr>
          <w:p>
            <w:r>
              <w:t>8-15</w:t>
            </w:r>
          </w:p>
        </w:tc>
        <w:tc>
          <w:tcPr>
            <w:tcW w:type="dxa" w:w="2160"/>
          </w:tcPr>
          <w:p>
            <w:r>
              <w:t>4-6%</w:t>
            </w:r>
          </w:p>
        </w:tc>
        <w:tc>
          <w:tcPr>
            <w:tcW w:type="dxa" w:w="2160"/>
          </w:tcPr>
          <w:p>
            <w:r>
              <w:t>Estável/Alta</w:t>
            </w:r>
          </w:p>
        </w:tc>
      </w:tr>
      <w:tr>
        <w:tc>
          <w:tcPr>
            <w:tcW w:type="dxa" w:w="2160"/>
          </w:tcPr>
          <w:p>
            <w:r>
              <w:t>Custos burocráticos e aduaneiros</w:t>
            </w:r>
          </w:p>
        </w:tc>
        <w:tc>
          <w:tcPr>
            <w:tcW w:type="dxa" w:w="2160"/>
          </w:tcPr>
          <w:p>
            <w:r>
              <w:t>20-30</w:t>
            </w:r>
          </w:p>
        </w:tc>
        <w:tc>
          <w:tcPr>
            <w:tcW w:type="dxa" w:w="2160"/>
          </w:tcPr>
          <w:p>
            <w:r>
              <w:t>10-12%</w:t>
            </w:r>
          </w:p>
        </w:tc>
        <w:tc>
          <w:tcPr>
            <w:tcW w:type="dxa" w:w="2160"/>
          </w:tcPr>
          <w:p>
            <w:r>
              <w:t>Crescente (+80%)</w:t>
            </w:r>
          </w:p>
        </w:tc>
      </w:tr>
      <w:tr>
        <w:tc>
          <w:tcPr>
            <w:tcW w:type="dxa" w:w="2160"/>
          </w:tcPr>
          <w:p>
            <w:r>
              <w:t>Paragem de actividade económica</w:t>
            </w:r>
          </w:p>
        </w:tc>
        <w:tc>
          <w:tcPr>
            <w:tcW w:type="dxa" w:w="2160"/>
          </w:tcPr>
          <w:p>
            <w:r>
              <w:t>22-25</w:t>
            </w:r>
          </w:p>
        </w:tc>
        <w:tc>
          <w:tcPr>
            <w:tcW w:type="dxa" w:w="2160"/>
          </w:tcPr>
          <w:p>
            <w:r>
              <w:t>11-14%</w:t>
            </w:r>
          </w:p>
        </w:tc>
        <w:tc>
          <w:tcPr>
            <w:tcW w:type="dxa" w:w="2160"/>
          </w:tcPr>
          <w:p>
            <w:r>
              <w:t>Crescente</w:t>
            </w:r>
          </w:p>
        </w:tc>
      </w:tr>
    </w:tbl>
    <w:p>
      <w:pPr>
        <w:pStyle w:val="Heading2"/>
      </w:pPr>
      <w:r>
        <w:t>Fonte da Tabela_6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 da Hipótese</w:t>
            </w:r>
          </w:p>
        </w:tc>
        <w:tc>
          <w:tcPr>
            <w:tcW w:type="dxa" w:w="2880"/>
          </w:tcPr>
          <w:p>
            <w:r>
              <w:t>Evidência Empírica</w:t>
            </w:r>
          </w:p>
        </w:tc>
        <w:tc>
          <w:tcPr>
            <w:tcW w:type="dxa" w:w="2880"/>
          </w:tcPr>
          <w:p>
            <w:r>
              <w:t>Veredicto</w:t>
            </w:r>
          </w:p>
        </w:tc>
      </w:tr>
      <w:tr>
        <w:tc>
          <w:tcPr>
            <w:tcW w:type="dxa" w:w="2880"/>
          </w:tcPr>
          <w:p>
            <w:r>
              <w:t>Dependência excessiva do modal rodoviário</w:t>
            </w:r>
          </w:p>
        </w:tc>
        <w:tc>
          <w:tcPr>
            <w:tcW w:type="dxa" w:w="2880"/>
          </w:tcPr>
          <w:p>
            <w:r>
              <w:t>60% do transporte por camiões; custo 4-6x superior ao ductoviário; zero quilómetros de oleodutos internos</w:t>
            </w:r>
          </w:p>
        </w:tc>
        <w:tc>
          <w:tcPr>
            <w:tcW w:type="dxa" w:w="2880"/>
          </w:tcPr>
          <w:p>
            <w:r>
              <w:t>Confirmado – O «Paradoxo Modal» é o vector nuclear da ineficiência</w:t>
            </w:r>
          </w:p>
        </w:tc>
      </w:tr>
      <w:tr>
        <w:tc>
          <w:tcPr>
            <w:tcW w:type="dxa" w:w="2880"/>
          </w:tcPr>
          <w:p>
            <w:r>
              <w:t>Obsolescência das infra-estruturas portuárias</w:t>
            </w:r>
          </w:p>
        </w:tc>
        <w:tc>
          <w:tcPr>
            <w:tcW w:type="dxa" w:w="2880"/>
          </w:tcPr>
          <w:p>
            <w:r>
              <w:t>Tancagem insuficiente (&lt; 15 dias de autonomia); assoreamento da Beira; congestionamento de Maputo; descontinuidade ferroviária de Nacala</w:t>
            </w:r>
          </w:p>
        </w:tc>
        <w:tc>
          <w:tcPr>
            <w:tcW w:type="dxa" w:w="2880"/>
          </w:tcPr>
          <w:p>
            <w:r>
              <w:t>Confirmado – Os três portos operam abaixo da resiliência mínima</w:t>
            </w:r>
          </w:p>
        </w:tc>
      </w:tr>
      <w:tr>
        <w:tc>
          <w:tcPr>
            <w:tcW w:type="dxa" w:w="2880"/>
          </w:tcPr>
          <w:p>
            <w:r>
              <w:t>Escassa digitalização e monitorização</w:t>
            </w:r>
          </w:p>
        </w:tc>
        <w:tc>
          <w:tcPr>
            <w:tcW w:type="dxa" w:w="2880"/>
          </w:tcPr>
          <w:p>
            <w:r>
              <w:t>Gap de 75pp em SCADA/IoT; 55% da frota sem rastreamento; JUP 2.0 em consolidação; cibersegurança ignorada</w:t>
            </w:r>
          </w:p>
        </w:tc>
        <w:tc>
          <w:tcPr>
            <w:tcW w:type="dxa" w:w="2880"/>
          </w:tcPr>
          <w:p>
            <w:r>
              <w:t>Confirmado – A opacidade operacional facilita furtos e compromete a governança</w:t>
            </w:r>
          </w:p>
        </w:tc>
      </w:tr>
      <w:tr>
        <w:tc>
          <w:tcPr>
            <w:tcW w:type="dxa" w:w="2880"/>
          </w:tcPr>
          <w:p>
            <w:r>
              <w:t>Entraves burocráticos e regulatórios</w:t>
            </w:r>
          </w:p>
        </w:tc>
        <w:tc>
          <w:tcPr>
            <w:tcW w:type="dxa" w:w="2880"/>
          </w:tcPr>
          <w:p>
            <w:r>
              <w:t>Fragmentação institucional; atrasos &gt; 90 dias em compensações tarifárias; &lt; 30% de condutores com ADR; fiscalização deficitária</w:t>
            </w:r>
          </w:p>
        </w:tc>
        <w:tc>
          <w:tcPr>
            <w:tcW w:type="dxa" w:w="2880"/>
          </w:tcPr>
          <w:p>
            <w:r>
              <w:t>Confirmado – O enquadramento regulatório amplifica em vez de mitigar as ineficiências</w:t>
            </w:r>
          </w:p>
        </w:tc>
      </w:tr>
    </w:tbl>
    <w:p>
      <w:pPr>
        <w:pStyle w:val="Heading1"/>
      </w:pPr>
      <w:r>
        <w:t>2. Referências de Dados para Gráficos</w:t>
      </w:r>
    </w:p>
    <w:p>
      <w:pPr>
        <w:pStyle w:val="Heading2"/>
      </w:pPr>
      <w:r>
        <w:t>Base para Gráfico 1</w:t>
      </w:r>
    </w:p>
    <w:p>
      <w:r>
        <w:t>Contexto: "Lista de Gráficos"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Mês/Período</w:t>
            </w:r>
          </w:p>
        </w:tc>
        <w:tc>
          <w:tcPr>
            <w:tcW w:type="dxa" w:w="2880"/>
          </w:tcPr>
          <w:p>
            <w:r>
              <w:t>Categoria Analisada</w:t>
            </w:r>
          </w:p>
        </w:tc>
        <w:tc>
          <w:tcPr>
            <w:tcW w:type="dxa" w:w="2880"/>
          </w:tcPr>
          <w:p>
            <w:r>
              <w:t>Frequência/Valor</w:t>
            </w:r>
          </w:p>
        </w:tc>
      </w:tr>
      <w:tr>
        <w:tc>
          <w:tcPr>
            <w:tcW w:type="dxa" w:w="2880"/>
          </w:tcPr>
          <w:p>
            <w:r>
              <w:t>Jan</w:t>
            </w:r>
          </w:p>
        </w:tc>
        <w:tc>
          <w:tcPr>
            <w:tcW w:type="dxa" w:w="2880"/>
          </w:tcPr>
          <w:p>
            <w:r>
              <w:t>Categoria C</w:t>
            </w:r>
          </w:p>
        </w:tc>
        <w:tc>
          <w:tcPr>
            <w:tcW w:type="dxa" w:w="2880"/>
          </w:tcPr>
          <w:p>
            <w:r>
              <w:t>109</w:t>
            </w:r>
          </w:p>
        </w:tc>
      </w:tr>
      <w:tr>
        <w:tc>
          <w:tcPr>
            <w:tcW w:type="dxa" w:w="2880"/>
          </w:tcPr>
          <w:p>
            <w:r>
              <w:t>Fev</w:t>
            </w:r>
          </w:p>
        </w:tc>
        <w:tc>
          <w:tcPr>
            <w:tcW w:type="dxa" w:w="2880"/>
          </w:tcPr>
          <w:p>
            <w:r>
              <w:t>Categoria A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Mar</w:t>
            </w:r>
          </w:p>
        </w:tc>
        <w:tc>
          <w:tcPr>
            <w:tcW w:type="dxa" w:w="2880"/>
          </w:tcPr>
          <w:p>
            <w:r>
              <w:t>Categoria B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Abr</w:t>
            </w:r>
          </w:p>
        </w:tc>
        <w:tc>
          <w:tcPr>
            <w:tcW w:type="dxa" w:w="2880"/>
          </w:tcPr>
          <w:p>
            <w:r>
              <w:t>Categoria C</w:t>
            </w:r>
          </w:p>
        </w:tc>
        <w:tc>
          <w:tcPr>
            <w:tcW w:type="dxa" w:w="2880"/>
          </w:tcPr>
          <w:p>
            <w:r>
              <w:t>118</w:t>
            </w:r>
          </w:p>
        </w:tc>
      </w:tr>
      <w:tr>
        <w:tc>
          <w:tcPr>
            <w:tcW w:type="dxa" w:w="2880"/>
          </w:tcPr>
          <w:p>
            <w:r>
              <w:t>Mai</w:t>
            </w:r>
          </w:p>
        </w:tc>
        <w:tc>
          <w:tcPr>
            <w:tcW w:type="dxa" w:w="2880"/>
          </w:tcPr>
          <w:p>
            <w:r>
              <w:t>Categoria A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</w:tbl>
    <w:p>
      <w:pPr>
        <w:pStyle w:val="Heading2"/>
      </w:pPr>
      <w:r>
        <w:t>Base para Gráfico 2</w:t>
      </w:r>
    </w:p>
    <w:p>
      <w:r>
        <w:t>Contexto: "Gráfico 1 - Distribuição modal do transporte de petróleo em Moçambique.</w:t>
        <w:tab/>
        <w:t>22"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Mês/Período</w:t>
            </w:r>
          </w:p>
        </w:tc>
        <w:tc>
          <w:tcPr>
            <w:tcW w:type="dxa" w:w="2880"/>
          </w:tcPr>
          <w:p>
            <w:r>
              <w:t>Categoria Analisada</w:t>
            </w:r>
          </w:p>
        </w:tc>
        <w:tc>
          <w:tcPr>
            <w:tcW w:type="dxa" w:w="2880"/>
          </w:tcPr>
          <w:p>
            <w:r>
              <w:t>Frequência/Valor</w:t>
            </w:r>
          </w:p>
        </w:tc>
      </w:tr>
      <w:tr>
        <w:tc>
          <w:tcPr>
            <w:tcW w:type="dxa" w:w="2880"/>
          </w:tcPr>
          <w:p>
            <w:r>
              <w:t>Jan</w:t>
            </w:r>
          </w:p>
        </w:tc>
        <w:tc>
          <w:tcPr>
            <w:tcW w:type="dxa" w:w="2880"/>
          </w:tcPr>
          <w:p>
            <w:r>
              <w:t>Categoria A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Fev</w:t>
            </w:r>
          </w:p>
        </w:tc>
        <w:tc>
          <w:tcPr>
            <w:tcW w:type="dxa" w:w="2880"/>
          </w:tcPr>
          <w:p>
            <w:r>
              <w:t>Categoria B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Mar</w:t>
            </w:r>
          </w:p>
        </w:tc>
        <w:tc>
          <w:tcPr>
            <w:tcW w:type="dxa" w:w="2880"/>
          </w:tcPr>
          <w:p>
            <w:r>
              <w:t>Categoria C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Abr</w:t>
            </w:r>
          </w:p>
        </w:tc>
        <w:tc>
          <w:tcPr>
            <w:tcW w:type="dxa" w:w="2880"/>
          </w:tcPr>
          <w:p>
            <w:r>
              <w:t>Categoria A</w:t>
            </w:r>
          </w:p>
        </w:tc>
        <w:tc>
          <w:tcPr>
            <w:tcW w:type="dxa" w:w="2880"/>
          </w:tcPr>
          <w:p>
            <w:r>
              <w:t>116</w:t>
            </w:r>
          </w:p>
        </w:tc>
      </w:tr>
      <w:tr>
        <w:tc>
          <w:tcPr>
            <w:tcW w:type="dxa" w:w="2880"/>
          </w:tcPr>
          <w:p>
            <w:r>
              <w:t>Mai</w:t>
            </w:r>
          </w:p>
        </w:tc>
        <w:tc>
          <w:tcPr>
            <w:tcW w:type="dxa" w:w="2880"/>
          </w:tcPr>
          <w:p>
            <w:r>
              <w:t>Categoria B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</w:tbl>
    <w:p>
      <w:pPr>
        <w:pStyle w:val="Heading2"/>
      </w:pPr>
      <w:r>
        <w:t>Base para Gráfico 3</w:t>
      </w:r>
    </w:p>
    <w:p>
      <w:r>
        <w:t>Contexto: "Gráfico 2 - Evolução das importações de combustíveis em Moçambique (2015-2024).</w:t>
        <w:tab/>
        <w:t>25"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Mês/Período</w:t>
            </w:r>
          </w:p>
        </w:tc>
        <w:tc>
          <w:tcPr>
            <w:tcW w:type="dxa" w:w="2880"/>
          </w:tcPr>
          <w:p>
            <w:r>
              <w:t>Categoria Analisada</w:t>
            </w:r>
          </w:p>
        </w:tc>
        <w:tc>
          <w:tcPr>
            <w:tcW w:type="dxa" w:w="2880"/>
          </w:tcPr>
          <w:p>
            <w:r>
              <w:t>Frequência/Valor</w:t>
            </w:r>
          </w:p>
        </w:tc>
      </w:tr>
      <w:tr>
        <w:tc>
          <w:tcPr>
            <w:tcW w:type="dxa" w:w="2880"/>
          </w:tcPr>
          <w:p>
            <w:r>
              <w:t>Jan</w:t>
            </w:r>
          </w:p>
        </w:tc>
        <w:tc>
          <w:tcPr>
            <w:tcW w:type="dxa" w:w="2880"/>
          </w:tcPr>
          <w:p>
            <w:r>
              <w:t>Categoria B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Fev</w:t>
            </w:r>
          </w:p>
        </w:tc>
        <w:tc>
          <w:tcPr>
            <w:tcW w:type="dxa" w:w="2880"/>
          </w:tcPr>
          <w:p>
            <w:r>
              <w:t>Categoria A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Mar</w:t>
            </w:r>
          </w:p>
        </w:tc>
        <w:tc>
          <w:tcPr>
            <w:tcW w:type="dxa" w:w="2880"/>
          </w:tcPr>
          <w:p>
            <w:r>
              <w:t>Categoria A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Abr</w:t>
            </w:r>
          </w:p>
        </w:tc>
        <w:tc>
          <w:tcPr>
            <w:tcW w:type="dxa" w:w="2880"/>
          </w:tcPr>
          <w:p>
            <w:r>
              <w:t>Categoria B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Mai</w:t>
            </w:r>
          </w:p>
        </w:tc>
        <w:tc>
          <w:tcPr>
            <w:tcW w:type="dxa" w:w="2880"/>
          </w:tcPr>
          <w:p>
            <w:r>
              <w:t>Categoria A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</w:tbl>
    <w:p>
      <w:pPr>
        <w:pStyle w:val="Heading2"/>
      </w:pPr>
      <w:r>
        <w:t>Base para Gráfico 4</w:t>
      </w:r>
    </w:p>
    <w:p>
      <w:r>
        <w:t>Contexto: "Gráfico 3 - Composição dos custos logísticos no sector petrolífero (comparação internacional).</w:t>
        <w:tab/>
        <w:t>29"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Mês/Período</w:t>
            </w:r>
          </w:p>
        </w:tc>
        <w:tc>
          <w:tcPr>
            <w:tcW w:type="dxa" w:w="2880"/>
          </w:tcPr>
          <w:p>
            <w:r>
              <w:t>Categoria Analisada</w:t>
            </w:r>
          </w:p>
        </w:tc>
        <w:tc>
          <w:tcPr>
            <w:tcW w:type="dxa" w:w="2880"/>
          </w:tcPr>
          <w:p>
            <w:r>
              <w:t>Frequência/Valor</w:t>
            </w:r>
          </w:p>
        </w:tc>
      </w:tr>
      <w:tr>
        <w:tc>
          <w:tcPr>
            <w:tcW w:type="dxa" w:w="2880"/>
          </w:tcPr>
          <w:p>
            <w:r>
              <w:t>Jan</w:t>
            </w:r>
          </w:p>
        </w:tc>
        <w:tc>
          <w:tcPr>
            <w:tcW w:type="dxa" w:w="2880"/>
          </w:tcPr>
          <w:p>
            <w:r>
              <w:t>Categoria A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Fev</w:t>
            </w:r>
          </w:p>
        </w:tc>
        <w:tc>
          <w:tcPr>
            <w:tcW w:type="dxa" w:w="2880"/>
          </w:tcPr>
          <w:p>
            <w:r>
              <w:t>Categoria A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Mar</w:t>
            </w:r>
          </w:p>
        </w:tc>
        <w:tc>
          <w:tcPr>
            <w:tcW w:type="dxa" w:w="2880"/>
          </w:tcPr>
          <w:p>
            <w:r>
              <w:t>Categoria B</w:t>
            </w:r>
          </w:p>
        </w:tc>
        <w:tc>
          <w:tcPr>
            <w:tcW w:type="dxa" w:w="2880"/>
          </w:tcPr>
          <w:p>
            <w:r>
              <w:t>143</w:t>
            </w:r>
          </w:p>
        </w:tc>
      </w:tr>
      <w:tr>
        <w:tc>
          <w:tcPr>
            <w:tcW w:type="dxa" w:w="2880"/>
          </w:tcPr>
          <w:p>
            <w:r>
              <w:t>Abr</w:t>
            </w:r>
          </w:p>
        </w:tc>
        <w:tc>
          <w:tcPr>
            <w:tcW w:type="dxa" w:w="2880"/>
          </w:tcPr>
          <w:p>
            <w:r>
              <w:t>Categoria A</w:t>
            </w:r>
          </w:p>
        </w:tc>
        <w:tc>
          <w:tcPr>
            <w:tcW w:type="dxa" w:w="2880"/>
          </w:tcPr>
          <w:p>
            <w:r>
              <w:t>148</w:t>
            </w:r>
          </w:p>
        </w:tc>
      </w:tr>
      <w:tr>
        <w:tc>
          <w:tcPr>
            <w:tcW w:type="dxa" w:w="2880"/>
          </w:tcPr>
          <w:p>
            <w:r>
              <w:t>Mai</w:t>
            </w:r>
          </w:p>
        </w:tc>
        <w:tc>
          <w:tcPr>
            <w:tcW w:type="dxa" w:w="2880"/>
          </w:tcPr>
          <w:p>
            <w:r>
              <w:t>Categoria B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</w:tbl>
    <w:p>
      <w:pPr>
        <w:pStyle w:val="Heading2"/>
      </w:pPr>
      <w:r>
        <w:t>Base para Gráfico 5</w:t>
      </w:r>
    </w:p>
    <w:p>
      <w:r>
        <w:t>Contexto: "Gráfico 4 - Índice Multidimensional de Desempenho Operacional dos Corredores Logísticos de Hidrocarbonetos (2023).</w:t>
        <w:tab/>
        <w:t>37"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Mês/Período</w:t>
            </w:r>
          </w:p>
        </w:tc>
        <w:tc>
          <w:tcPr>
            <w:tcW w:type="dxa" w:w="2880"/>
          </w:tcPr>
          <w:p>
            <w:r>
              <w:t>Categoria Analisada</w:t>
            </w:r>
          </w:p>
        </w:tc>
        <w:tc>
          <w:tcPr>
            <w:tcW w:type="dxa" w:w="2880"/>
          </w:tcPr>
          <w:p>
            <w:r>
              <w:t>Frequência/Valor</w:t>
            </w:r>
          </w:p>
        </w:tc>
      </w:tr>
      <w:tr>
        <w:tc>
          <w:tcPr>
            <w:tcW w:type="dxa" w:w="2880"/>
          </w:tcPr>
          <w:p>
            <w:r>
              <w:t>Jan</w:t>
            </w:r>
          </w:p>
        </w:tc>
        <w:tc>
          <w:tcPr>
            <w:tcW w:type="dxa" w:w="2880"/>
          </w:tcPr>
          <w:p>
            <w:r>
              <w:t>Categoria A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Fev</w:t>
            </w:r>
          </w:p>
        </w:tc>
        <w:tc>
          <w:tcPr>
            <w:tcW w:type="dxa" w:w="2880"/>
          </w:tcPr>
          <w:p>
            <w:r>
              <w:t>Categoria B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Mar</w:t>
            </w:r>
          </w:p>
        </w:tc>
        <w:tc>
          <w:tcPr>
            <w:tcW w:type="dxa" w:w="2880"/>
          </w:tcPr>
          <w:p>
            <w:r>
              <w:t>Categoria B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Abr</w:t>
            </w:r>
          </w:p>
        </w:tc>
        <w:tc>
          <w:tcPr>
            <w:tcW w:type="dxa" w:w="2880"/>
          </w:tcPr>
          <w:p>
            <w:r>
              <w:t>Categoria C</w:t>
            </w:r>
          </w:p>
        </w:tc>
        <w:tc>
          <w:tcPr>
            <w:tcW w:type="dxa" w:w="2880"/>
          </w:tcPr>
          <w:p>
            <w:r>
              <w:t>101</w:t>
            </w:r>
          </w:p>
        </w:tc>
      </w:tr>
      <w:tr>
        <w:tc>
          <w:tcPr>
            <w:tcW w:type="dxa" w:w="2880"/>
          </w:tcPr>
          <w:p>
            <w:r>
              <w:t>Mai</w:t>
            </w:r>
          </w:p>
        </w:tc>
        <w:tc>
          <w:tcPr>
            <w:tcW w:type="dxa" w:w="2880"/>
          </w:tcPr>
          <w:p>
            <w:r>
              <w:t>Categoria C</w:t>
            </w:r>
          </w:p>
        </w:tc>
        <w:tc>
          <w:tcPr>
            <w:tcW w:type="dxa" w:w="2880"/>
          </w:tcPr>
          <w:p>
            <w:r>
              <w:t>102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