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5D1" w:rsidRPr="001855D1" w:rsidRDefault="001855D1" w:rsidP="001855D1">
      <w:pPr>
        <w:spacing w:after="16" w:line="173" w:lineRule="atLeast"/>
        <w:rPr>
          <w:rFonts w:ascii="Verdana" w:eastAsia="Times New Roman" w:hAnsi="Verdana" w:cs="Times New Roman"/>
          <w:color w:val="2C4296"/>
          <w:spacing w:val="24"/>
          <w:sz w:val="17"/>
          <w:szCs w:val="17"/>
        </w:rPr>
      </w:pPr>
      <w:r w:rsidRPr="001855D1">
        <w:rPr>
          <w:rFonts w:ascii="Verdana" w:eastAsia="Times New Roman" w:hAnsi="Verdana" w:cs="Times New Roman"/>
          <w:color w:val="2C4296"/>
          <w:spacing w:val="24"/>
          <w:sz w:val="17"/>
          <w:szCs w:val="17"/>
        </w:rPr>
        <w:t>Module B. Colour from the Cosmos</w:t>
      </w:r>
    </w:p>
    <w:p w:rsidR="001855D1" w:rsidRPr="001855D1" w:rsidRDefault="001855D1" w:rsidP="001855D1">
      <w:pPr>
        <w:spacing w:after="48" w:line="173" w:lineRule="atLeast"/>
        <w:rPr>
          <w:rFonts w:ascii="Arial" w:eastAsia="Times New Roman" w:hAnsi="Arial" w:cs="Arial"/>
          <w:color w:val="666666"/>
          <w:spacing w:val="48"/>
          <w:sz w:val="16"/>
          <w:szCs w:val="16"/>
        </w:rPr>
      </w:pPr>
      <w:r w:rsidRPr="001855D1">
        <w:rPr>
          <w:rFonts w:ascii="Arial" w:eastAsia="Times New Roman" w:hAnsi="Arial" w:cs="Arial"/>
          <w:color w:val="666666"/>
          <w:spacing w:val="48"/>
          <w:sz w:val="16"/>
          <w:szCs w:val="16"/>
        </w:rPr>
        <w:t>Lesson 12: Colour, Light and Optics 1</w:t>
      </w:r>
    </w:p>
    <w:p w:rsidR="001855D1" w:rsidRPr="001855D1" w:rsidRDefault="001855D1" w:rsidP="001855D1">
      <w:pPr>
        <w:spacing w:before="64" w:after="24" w:line="173" w:lineRule="atLeast"/>
        <w:outlineLvl w:val="0"/>
        <w:rPr>
          <w:rFonts w:ascii="Tahoma" w:eastAsia="Times New Roman" w:hAnsi="Tahoma" w:cs="Tahoma"/>
          <w:color w:val="2C4296"/>
          <w:spacing w:val="8"/>
          <w:kern w:val="36"/>
          <w:sz w:val="34"/>
          <w:szCs w:val="34"/>
        </w:rPr>
      </w:pPr>
      <w:r w:rsidRPr="001855D1">
        <w:rPr>
          <w:rFonts w:ascii="Tahoma" w:eastAsia="Times New Roman" w:hAnsi="Tahoma" w:cs="Tahoma"/>
          <w:color w:val="2C4296"/>
          <w:spacing w:val="8"/>
          <w:kern w:val="36"/>
          <w:sz w:val="34"/>
          <w:szCs w:val="34"/>
        </w:rPr>
        <w:t>Introduction</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A large part of the beauty and value of gemstones and precious metals revolves around the interaction between light and the object. This includes not only the hue and saturation of perceived colour, but also how light is transmitted, reflected, refracted, fluoresced, and dispersed. Furthermore, it is not solely the interaction of light with matter but also the way that the human eye interprets such optical phenomena.</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Light is</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electromagnetic radiation</w:t>
      </w:r>
      <w:r w:rsidRPr="001855D1">
        <w:rPr>
          <w:rFonts w:ascii="Verdana" w:eastAsia="Times New Roman" w:hAnsi="Verdana" w:cs="Times New Roman"/>
          <w:color w:val="333333"/>
          <w:sz w:val="12"/>
        </w:rPr>
        <w:t> </w:t>
      </w:r>
      <w:r w:rsidRPr="001855D1">
        <w:rPr>
          <w:rFonts w:ascii="Verdana" w:eastAsia="Times New Roman" w:hAnsi="Verdana" w:cs="Times New Roman"/>
          <w:color w:val="333333"/>
          <w:sz w:val="12"/>
          <w:szCs w:val="12"/>
        </w:rPr>
        <w:t>or energy, and can be described as behaving like both waves and particles (photon). Like all waves, light can be described by its</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wavelength</w:t>
      </w:r>
      <w:r w:rsidRPr="001855D1">
        <w:rPr>
          <w:rFonts w:ascii="Verdana" w:eastAsia="Times New Roman" w:hAnsi="Verdana" w:cs="Times New Roman"/>
          <w:color w:val="333333"/>
          <w:sz w:val="12"/>
          <w:szCs w:val="12"/>
        </w:rPr>
        <w:t>, the distance from peak to peak or trough to trough, and its</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frequency</w:t>
      </w:r>
      <w:r w:rsidRPr="001855D1">
        <w:rPr>
          <w:rFonts w:ascii="Verdana" w:eastAsia="Times New Roman" w:hAnsi="Verdana" w:cs="Times New Roman"/>
          <w:color w:val="333333"/>
          <w:sz w:val="12"/>
          <w:szCs w:val="12"/>
        </w:rPr>
        <w:t>, the number of wave crests (or troughs) that pass through one point in one second. Light propagates in the direction of its</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wave front</w:t>
      </w:r>
      <w:r w:rsidRPr="001855D1">
        <w:rPr>
          <w:rFonts w:ascii="Verdana" w:eastAsia="Times New Roman" w:hAnsi="Verdana" w:cs="Times New Roman"/>
          <w:color w:val="333333"/>
          <w:sz w:val="12"/>
          <w:szCs w:val="12"/>
        </w:rPr>
        <w:t>. All electromagnetic radiation (from radio waves to X-rays) travels at a</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constant speed</w:t>
      </w:r>
      <w:r w:rsidRPr="001855D1">
        <w:rPr>
          <w:rFonts w:ascii="Verdana" w:eastAsia="Times New Roman" w:hAnsi="Verdana" w:cs="Times New Roman"/>
          <w:color w:val="333333"/>
          <w:sz w:val="12"/>
        </w:rPr>
        <w:t> </w:t>
      </w:r>
      <w:r w:rsidRPr="001855D1">
        <w:rPr>
          <w:rFonts w:ascii="Verdana" w:eastAsia="Times New Roman" w:hAnsi="Verdana" w:cs="Times New Roman"/>
          <w:color w:val="333333"/>
          <w:sz w:val="12"/>
          <w:szCs w:val="12"/>
        </w:rPr>
        <w:t>(the speed of light). So, when the frequency of light is decreased, its wavelength must increase – this is an inverse relationship. Light energy increases with increasing frequency (or decreasing wavelength). Refer to the figure and table below for more information on the parts of a wave.</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Light also behaves like a particle when it travels as</w:t>
      </w:r>
      <w:r w:rsidRPr="001855D1">
        <w:rPr>
          <w:rFonts w:ascii="Verdana" w:eastAsia="Times New Roman" w:hAnsi="Verdana" w:cs="Times New Roman"/>
          <w:color w:val="333333"/>
          <w:sz w:val="12"/>
        </w:rPr>
        <w:t> </w:t>
      </w:r>
      <w:r w:rsidRPr="001855D1">
        <w:rPr>
          <w:rFonts w:ascii="Verdana" w:eastAsia="Times New Roman" w:hAnsi="Verdana" w:cs="Times New Roman"/>
          <w:color w:val="0066CC"/>
          <w:sz w:val="12"/>
        </w:rPr>
        <w:t>photon particles</w:t>
      </w:r>
      <w:r w:rsidRPr="001855D1">
        <w:rPr>
          <w:rFonts w:ascii="Verdana" w:eastAsia="Times New Roman" w:hAnsi="Verdana" w:cs="Times New Roman"/>
          <w:color w:val="333333"/>
          <w:sz w:val="12"/>
          <w:szCs w:val="12"/>
        </w:rPr>
        <w:t>. More intense light would be composed of a greater number of photons with a higher frequency of incidence. For gemstones, interaction with light is best described using the wave-like approach. For those students interested in the wave-particle duality of light, a good online starting point is</w:t>
      </w:r>
      <w:r w:rsidRPr="001855D1">
        <w:rPr>
          <w:rFonts w:ascii="Verdana" w:eastAsia="Times New Roman" w:hAnsi="Verdana" w:cs="Times New Roman"/>
          <w:color w:val="333333"/>
          <w:sz w:val="12"/>
        </w:rPr>
        <w:t> </w:t>
      </w:r>
      <w:hyperlink r:id="rId4" w:tgtFrame="_blank" w:tooltip="Web link" w:history="1">
        <w:r w:rsidRPr="001855D1">
          <w:rPr>
            <w:rFonts w:ascii="Verdana" w:eastAsia="Times New Roman" w:hAnsi="Verdana" w:cs="Times New Roman"/>
            <w:color w:val="2C4296"/>
            <w:sz w:val="12"/>
          </w:rPr>
          <w:t>Wikipedia</w:t>
        </w:r>
      </w:hyperlink>
      <w:r w:rsidRPr="001855D1">
        <w:rPr>
          <w:rFonts w:ascii="Verdana" w:eastAsia="Times New Roman" w:hAnsi="Verdana" w:cs="Times New Roman"/>
          <w:color w:val="333333"/>
          <w:sz w:val="12"/>
          <w:szCs w:val="12"/>
        </w:rPr>
        <w:t>.</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ave anatomy" style="width:450pt;height:228.8pt"/>
        </w:pict>
      </w:r>
    </w:p>
    <w:p w:rsidR="001855D1" w:rsidRPr="001855D1" w:rsidRDefault="001855D1" w:rsidP="001855D1">
      <w:pPr>
        <w:spacing w:before="100" w:beforeAutospacing="1" w:after="100" w:afterAutospacing="1" w:line="173" w:lineRule="atLeast"/>
        <w:rPr>
          <w:rFonts w:ascii="Verdana" w:eastAsia="Times New Roman" w:hAnsi="Verdana" w:cs="Times New Roman"/>
          <w:color w:val="6E6E92"/>
          <w:sz w:val="12"/>
          <w:szCs w:val="12"/>
        </w:rPr>
      </w:pPr>
      <w:r w:rsidRPr="001855D1">
        <w:rPr>
          <w:rFonts w:ascii="Verdana" w:eastAsia="Times New Roman" w:hAnsi="Verdana" w:cs="Times New Roman"/>
          <w:color w:val="6E6E92"/>
          <w:sz w:val="12"/>
          <w:szCs w:val="12"/>
        </w:rPr>
        <w:t>Anatomy of a wave.</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pict>
          <v:shape id="_x0000_i1026" type="#_x0000_t75" alt="wave equation" style="width:24pt;height:24pt"/>
        </w:pict>
      </w:r>
    </w:p>
    <w:p w:rsidR="001855D1" w:rsidRPr="001855D1" w:rsidRDefault="001855D1" w:rsidP="001855D1">
      <w:pPr>
        <w:spacing w:before="100" w:beforeAutospacing="1" w:after="100" w:afterAutospacing="1" w:line="173" w:lineRule="atLeast"/>
        <w:rPr>
          <w:rFonts w:ascii="Verdana" w:eastAsia="Times New Roman" w:hAnsi="Verdana" w:cs="Times New Roman"/>
          <w:color w:val="6E6E92"/>
          <w:sz w:val="12"/>
          <w:szCs w:val="12"/>
        </w:rPr>
      </w:pPr>
      <w:r w:rsidRPr="001855D1">
        <w:rPr>
          <w:rFonts w:ascii="Verdana" w:eastAsia="Times New Roman" w:hAnsi="Verdana" w:cs="Times New Roman"/>
          <w:color w:val="6E6E92"/>
          <w:sz w:val="12"/>
          <w:szCs w:val="12"/>
        </w:rPr>
        <w:t>Equation of a waveform.</w:t>
      </w:r>
    </w:p>
    <w:tbl>
      <w:tblPr>
        <w:tblW w:w="4750" w:type="pct"/>
        <w:tblCellSpacing w:w="15" w:type="dxa"/>
        <w:tblCellMar>
          <w:top w:w="15" w:type="dxa"/>
          <w:left w:w="15" w:type="dxa"/>
          <w:bottom w:w="15" w:type="dxa"/>
          <w:right w:w="15" w:type="dxa"/>
        </w:tblCellMar>
        <w:tblLook w:val="04A0"/>
      </w:tblPr>
      <w:tblGrid>
        <w:gridCol w:w="1725"/>
        <w:gridCol w:w="1630"/>
        <w:gridCol w:w="5623"/>
      </w:tblGrid>
      <w:tr w:rsidR="001855D1" w:rsidRPr="001855D1" w:rsidTr="001855D1">
        <w:trPr>
          <w:tblCellSpacing w:w="15" w:type="dxa"/>
        </w:trPr>
        <w:tc>
          <w:tcPr>
            <w:tcW w:w="2160" w:type="dxa"/>
            <w:tcBorders>
              <w:top w:val="nil"/>
              <w:left w:val="nil"/>
              <w:bottom w:val="nil"/>
              <w:right w:val="nil"/>
            </w:tcBorders>
            <w:shd w:val="clear" w:color="auto" w:fill="ECECEC"/>
            <w:hideMark/>
          </w:tcPr>
          <w:p w:rsidR="001855D1" w:rsidRPr="001855D1" w:rsidRDefault="001855D1" w:rsidP="001855D1">
            <w:pPr>
              <w:spacing w:before="16" w:after="16" w:line="173" w:lineRule="atLeast"/>
              <w:rPr>
                <w:rFonts w:ascii="Verdana" w:eastAsia="Times New Roman" w:hAnsi="Verdana" w:cs="Times New Roman"/>
                <w:b/>
                <w:bCs/>
                <w:color w:val="964335"/>
                <w:sz w:val="13"/>
                <w:szCs w:val="13"/>
              </w:rPr>
            </w:pPr>
            <w:r w:rsidRPr="001855D1">
              <w:rPr>
                <w:rFonts w:ascii="Verdana" w:eastAsia="Times New Roman" w:hAnsi="Verdana" w:cs="Times New Roman"/>
                <w:b/>
                <w:bCs/>
                <w:color w:val="964335"/>
                <w:sz w:val="13"/>
                <w:szCs w:val="13"/>
              </w:rPr>
              <w:t>Parameter</w:t>
            </w:r>
          </w:p>
        </w:tc>
        <w:tc>
          <w:tcPr>
            <w:tcW w:w="2160" w:type="dxa"/>
            <w:tcBorders>
              <w:top w:val="nil"/>
              <w:left w:val="nil"/>
              <w:bottom w:val="nil"/>
              <w:right w:val="nil"/>
            </w:tcBorders>
            <w:shd w:val="clear" w:color="auto" w:fill="ECECEC"/>
            <w:hideMark/>
          </w:tcPr>
          <w:p w:rsidR="001855D1" w:rsidRPr="001855D1" w:rsidRDefault="001855D1" w:rsidP="001855D1">
            <w:pPr>
              <w:spacing w:before="16" w:after="16" w:line="173" w:lineRule="atLeast"/>
              <w:jc w:val="center"/>
              <w:rPr>
                <w:rFonts w:ascii="Verdana" w:eastAsia="Times New Roman" w:hAnsi="Verdana" w:cs="Times New Roman"/>
                <w:b/>
                <w:bCs/>
                <w:color w:val="964335"/>
                <w:sz w:val="13"/>
                <w:szCs w:val="13"/>
              </w:rPr>
            </w:pPr>
            <w:r w:rsidRPr="001855D1">
              <w:rPr>
                <w:rFonts w:ascii="Verdana" w:eastAsia="Times New Roman" w:hAnsi="Verdana" w:cs="Times New Roman"/>
                <w:b/>
                <w:bCs/>
                <w:color w:val="964335"/>
                <w:sz w:val="13"/>
                <w:szCs w:val="13"/>
              </w:rPr>
              <w:t>Symbol</w:t>
            </w:r>
          </w:p>
        </w:tc>
        <w:tc>
          <w:tcPr>
            <w:tcW w:w="2172" w:type="dxa"/>
            <w:tcBorders>
              <w:top w:val="nil"/>
              <w:left w:val="nil"/>
              <w:bottom w:val="nil"/>
              <w:right w:val="nil"/>
            </w:tcBorders>
            <w:shd w:val="clear" w:color="auto" w:fill="ECECEC"/>
            <w:hideMark/>
          </w:tcPr>
          <w:p w:rsidR="001855D1" w:rsidRPr="001855D1" w:rsidRDefault="001855D1" w:rsidP="001855D1">
            <w:pPr>
              <w:spacing w:before="16" w:after="16" w:line="173" w:lineRule="atLeast"/>
              <w:rPr>
                <w:rFonts w:ascii="Verdana" w:eastAsia="Times New Roman" w:hAnsi="Verdana" w:cs="Times New Roman"/>
                <w:b/>
                <w:bCs/>
                <w:color w:val="964335"/>
                <w:sz w:val="13"/>
                <w:szCs w:val="13"/>
              </w:rPr>
            </w:pPr>
            <w:r w:rsidRPr="001855D1">
              <w:rPr>
                <w:rFonts w:ascii="Verdana" w:eastAsia="Times New Roman" w:hAnsi="Verdana" w:cs="Times New Roman"/>
                <w:b/>
                <w:bCs/>
                <w:color w:val="964335"/>
                <w:sz w:val="13"/>
                <w:szCs w:val="13"/>
              </w:rPr>
              <w:t>Definition (units)</w:t>
            </w:r>
          </w:p>
        </w:tc>
      </w:tr>
      <w:tr w:rsidR="001855D1" w:rsidRPr="001855D1" w:rsidTr="001855D1">
        <w:trPr>
          <w:tblCellSpacing w:w="15" w:type="dxa"/>
        </w:trPr>
        <w:tc>
          <w:tcPr>
            <w:tcW w:w="2160" w:type="dxa"/>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crest</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highest point of a wave</w:t>
            </w:r>
          </w:p>
        </w:tc>
      </w:tr>
      <w:tr w:rsidR="001855D1" w:rsidRPr="001855D1" w:rsidTr="001855D1">
        <w:trPr>
          <w:tblCellSpacing w:w="15" w:type="dxa"/>
        </w:trPr>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trough</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lowest point of a wave</w:t>
            </w:r>
          </w:p>
        </w:tc>
      </w:tr>
      <w:tr w:rsidR="001855D1" w:rsidRPr="001855D1" w:rsidTr="001855D1">
        <w:trPr>
          <w:tblCellSpacing w:w="15" w:type="dxa"/>
        </w:trPr>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wavelength</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λ</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distance between two successive crests or two successive troughs of a wave (nanometres or 10</w:t>
            </w:r>
            <w:r w:rsidRPr="001855D1">
              <w:rPr>
                <w:rFonts w:ascii="Verdana" w:eastAsia="Times New Roman" w:hAnsi="Verdana" w:cs="Times New Roman"/>
                <w:color w:val="333333"/>
                <w:sz w:val="12"/>
                <w:szCs w:val="12"/>
                <w:vertAlign w:val="superscript"/>
              </w:rPr>
              <w:t>-9</w:t>
            </w:r>
            <w:r w:rsidRPr="001855D1">
              <w:rPr>
                <w:rFonts w:ascii="Verdana" w:eastAsia="Times New Roman" w:hAnsi="Verdana" w:cs="Times New Roman"/>
                <w:color w:val="333333"/>
                <w:sz w:val="12"/>
              </w:rPr>
              <w:t> </w:t>
            </w:r>
            <w:r w:rsidRPr="001855D1">
              <w:rPr>
                <w:rFonts w:ascii="Verdana" w:eastAsia="Times New Roman" w:hAnsi="Verdana" w:cs="Times New Roman"/>
                <w:color w:val="333333"/>
                <w:sz w:val="12"/>
                <w:szCs w:val="12"/>
              </w:rPr>
              <w:t>metres, nm)</w:t>
            </w:r>
          </w:p>
        </w:tc>
      </w:tr>
      <w:tr w:rsidR="001855D1" w:rsidRPr="001855D1" w:rsidTr="001855D1">
        <w:trPr>
          <w:tblCellSpacing w:w="15" w:type="dxa"/>
        </w:trPr>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frequency</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i/>
                <w:iCs/>
                <w:color w:val="333333"/>
                <w:sz w:val="12"/>
              </w:rPr>
              <w:t>f</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number of waves passing a point per unit of time (cycles per second or hertz, Hz)</w:t>
            </w:r>
          </w:p>
        </w:tc>
      </w:tr>
      <w:tr w:rsidR="001855D1" w:rsidRPr="001855D1" w:rsidTr="001855D1">
        <w:trPr>
          <w:tblCellSpacing w:w="15" w:type="dxa"/>
        </w:trPr>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velocity</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i/>
                <w:iCs/>
                <w:color w:val="333333"/>
                <w:sz w:val="12"/>
              </w:rPr>
              <w:t>v</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velocity (or speed) of the wave and in this case it is the speed of light, which in a vaccuum is 3.0x10^8 m/s (meters per second, m/s)</w:t>
            </w:r>
          </w:p>
        </w:tc>
      </w:tr>
      <w:tr w:rsidR="001855D1" w:rsidRPr="001855D1" w:rsidTr="001855D1">
        <w:trPr>
          <w:tblCellSpacing w:w="15" w:type="dxa"/>
        </w:trPr>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amplitude</w:t>
            </w:r>
          </w:p>
        </w:tc>
        <w:tc>
          <w:tcPr>
            <w:tcW w:w="0" w:type="auto"/>
            <w:tcBorders>
              <w:top w:val="nil"/>
              <w:left w:val="nil"/>
              <w:bottom w:val="nil"/>
              <w:right w:val="nil"/>
            </w:tcBorders>
            <w:hideMark/>
          </w:tcPr>
          <w:p w:rsidR="001855D1" w:rsidRPr="001855D1" w:rsidRDefault="001855D1" w:rsidP="001855D1">
            <w:pPr>
              <w:spacing w:after="0" w:line="173" w:lineRule="atLeast"/>
              <w:jc w:val="center"/>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A</w:t>
            </w:r>
          </w:p>
        </w:tc>
        <w:tc>
          <w:tcPr>
            <w:tcW w:w="0" w:type="auto"/>
            <w:tcBorders>
              <w:top w:val="nil"/>
              <w:left w:val="nil"/>
              <w:bottom w:val="nil"/>
              <w:right w:val="nil"/>
            </w:tcBorders>
            <w:hideMark/>
          </w:tcPr>
          <w:p w:rsidR="001855D1" w:rsidRPr="001855D1" w:rsidRDefault="001855D1" w:rsidP="001855D1">
            <w:pPr>
              <w:spacing w:after="0"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vertical distance between crest or trough and the equilibrium line (nanometres or 10</w:t>
            </w:r>
            <w:r w:rsidRPr="001855D1">
              <w:rPr>
                <w:rFonts w:ascii="Verdana" w:eastAsia="Times New Roman" w:hAnsi="Verdana" w:cs="Times New Roman"/>
                <w:color w:val="333333"/>
                <w:sz w:val="12"/>
                <w:szCs w:val="12"/>
                <w:vertAlign w:val="superscript"/>
              </w:rPr>
              <w:t>-9</w:t>
            </w:r>
            <w:r w:rsidRPr="001855D1">
              <w:rPr>
                <w:rFonts w:ascii="Verdana" w:eastAsia="Times New Roman" w:hAnsi="Verdana" w:cs="Times New Roman"/>
                <w:color w:val="333333"/>
                <w:sz w:val="12"/>
              </w:rPr>
              <w:t> </w:t>
            </w:r>
            <w:r w:rsidRPr="001855D1">
              <w:rPr>
                <w:rFonts w:ascii="Verdana" w:eastAsia="Times New Roman" w:hAnsi="Verdana" w:cs="Times New Roman"/>
                <w:color w:val="333333"/>
                <w:sz w:val="12"/>
                <w:szCs w:val="12"/>
              </w:rPr>
              <w:t>metres, nm)</w:t>
            </w:r>
          </w:p>
        </w:tc>
      </w:tr>
    </w:tbl>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b/>
          <w:bCs/>
          <w:color w:val="333333"/>
          <w:sz w:val="12"/>
        </w:rPr>
        <w:lastRenderedPageBreak/>
        <w:t>Required Text Readings</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None</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b/>
          <w:bCs/>
          <w:color w:val="333333"/>
          <w:sz w:val="12"/>
        </w:rPr>
        <w:t>Optional Readings</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color w:val="333333"/>
          <w:sz w:val="12"/>
          <w:szCs w:val="12"/>
        </w:rPr>
        <w:t>Nassau, K. (1978) "</w:t>
      </w:r>
      <w:hyperlink r:id="rId5" w:tgtFrame="Origin of color in minerals" w:history="1">
        <w:r w:rsidRPr="001855D1">
          <w:rPr>
            <w:rFonts w:ascii="Verdana" w:eastAsia="Times New Roman" w:hAnsi="Verdana" w:cs="Times New Roman"/>
            <w:color w:val="2C4296"/>
            <w:sz w:val="12"/>
          </w:rPr>
          <w:t>The Origin of Color in Minerals</w:t>
        </w:r>
      </w:hyperlink>
      <w:r w:rsidRPr="001855D1">
        <w:rPr>
          <w:rFonts w:ascii="Verdana" w:eastAsia="Times New Roman" w:hAnsi="Verdana" w:cs="Times New Roman"/>
          <w:color w:val="333333"/>
          <w:sz w:val="12"/>
          <w:szCs w:val="12"/>
        </w:rPr>
        <w:t>",</w:t>
      </w:r>
      <w:r w:rsidRPr="001855D1">
        <w:rPr>
          <w:rFonts w:ascii="Verdana" w:eastAsia="Times New Roman" w:hAnsi="Verdana" w:cs="Times New Roman"/>
          <w:color w:val="333333"/>
          <w:sz w:val="12"/>
        </w:rPr>
        <w:t> </w:t>
      </w:r>
      <w:r w:rsidRPr="001855D1">
        <w:rPr>
          <w:rFonts w:ascii="Verdana" w:eastAsia="Times New Roman" w:hAnsi="Verdana" w:cs="Times New Roman"/>
          <w:i/>
          <w:iCs/>
          <w:color w:val="333333"/>
          <w:sz w:val="12"/>
        </w:rPr>
        <w:t>American Mineralogist</w:t>
      </w:r>
      <w:r w:rsidRPr="001855D1">
        <w:rPr>
          <w:rFonts w:ascii="Verdana" w:eastAsia="Times New Roman" w:hAnsi="Verdana" w:cs="Times New Roman"/>
          <w:color w:val="333333"/>
          <w:sz w:val="12"/>
          <w:szCs w:val="12"/>
        </w:rPr>
        <w:t>, Vol. 63, p219-229.</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r w:rsidRPr="001855D1">
        <w:rPr>
          <w:rFonts w:ascii="Verdana" w:eastAsia="Times New Roman" w:hAnsi="Verdana" w:cs="Times New Roman"/>
          <w:b/>
          <w:bCs/>
          <w:color w:val="333333"/>
          <w:sz w:val="12"/>
        </w:rPr>
        <w:t>Optional online resources:</w:t>
      </w:r>
    </w:p>
    <w:p w:rsidR="001855D1" w:rsidRPr="001855D1" w:rsidRDefault="001855D1" w:rsidP="001855D1">
      <w:pPr>
        <w:spacing w:before="100" w:beforeAutospacing="1" w:after="100" w:afterAutospacing="1" w:line="173" w:lineRule="atLeast"/>
        <w:rPr>
          <w:rFonts w:ascii="Verdana" w:eastAsia="Times New Roman" w:hAnsi="Verdana" w:cs="Times New Roman"/>
          <w:color w:val="333333"/>
          <w:sz w:val="12"/>
          <w:szCs w:val="12"/>
        </w:rPr>
      </w:pPr>
      <w:hyperlink r:id="rId6" w:tgtFrame="_blank" w:tooltip="Web link" w:history="1">
        <w:r w:rsidRPr="001855D1">
          <w:rPr>
            <w:rFonts w:ascii="Verdana" w:eastAsia="Times New Roman" w:hAnsi="Verdana" w:cs="Times New Roman"/>
            <w:color w:val="2C4296"/>
            <w:sz w:val="12"/>
          </w:rPr>
          <w:t>Causes of Color</w:t>
        </w:r>
      </w:hyperlink>
      <w:r w:rsidRPr="001855D1">
        <w:rPr>
          <w:rFonts w:ascii="Verdana" w:eastAsia="Times New Roman" w:hAnsi="Verdana" w:cs="Times New Roman"/>
          <w:color w:val="333333"/>
          <w:sz w:val="12"/>
          <w:szCs w:val="12"/>
        </w:rPr>
        <w:t>, from the Institute for Dynamic Educational Advancement (IDEA).</w:t>
      </w:r>
    </w:p>
    <w:p w:rsidR="00A419A1" w:rsidRDefault="00A419A1"/>
    <w:sectPr w:rsidR="00A419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855D1"/>
    <w:rsid w:val="001855D1"/>
    <w:rsid w:val="00A419A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5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55D1"/>
  </w:style>
  <w:style w:type="character" w:customStyle="1" w:styleId="enphasis">
    <w:name w:val="enphasis"/>
    <w:basedOn w:val="DefaultParagraphFont"/>
    <w:rsid w:val="001855D1"/>
  </w:style>
  <w:style w:type="character" w:styleId="Hyperlink">
    <w:name w:val="Hyperlink"/>
    <w:basedOn w:val="DefaultParagraphFont"/>
    <w:uiPriority w:val="99"/>
    <w:semiHidden/>
    <w:unhideWhenUsed/>
    <w:rsid w:val="001855D1"/>
    <w:rPr>
      <w:color w:val="0000FF"/>
      <w:u w:val="single"/>
    </w:rPr>
  </w:style>
  <w:style w:type="paragraph" w:customStyle="1" w:styleId="figures-caption">
    <w:name w:val="figures-caption"/>
    <w:basedOn w:val="Normal"/>
    <w:rsid w:val="00185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
    <w:name w:val="sub_header"/>
    <w:basedOn w:val="Normal"/>
    <w:rsid w:val="00185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55D1"/>
    <w:rPr>
      <w:i/>
      <w:iCs/>
    </w:rPr>
  </w:style>
  <w:style w:type="character" w:styleId="Strong">
    <w:name w:val="Strong"/>
    <w:basedOn w:val="DefaultParagraphFont"/>
    <w:uiPriority w:val="22"/>
    <w:qFormat/>
    <w:rsid w:val="001855D1"/>
    <w:rPr>
      <w:b/>
      <w:bCs/>
    </w:rPr>
  </w:style>
</w:styles>
</file>

<file path=word/webSettings.xml><?xml version="1.0" encoding="utf-8"?>
<w:webSettings xmlns:r="http://schemas.openxmlformats.org/officeDocument/2006/relationships" xmlns:w="http://schemas.openxmlformats.org/wordprocessingml/2006/main">
  <w:divs>
    <w:div w:id="1722513352">
      <w:bodyDiv w:val="1"/>
      <w:marLeft w:val="0"/>
      <w:marRight w:val="0"/>
      <w:marTop w:val="0"/>
      <w:marBottom w:val="0"/>
      <w:divBdr>
        <w:top w:val="none" w:sz="0" w:space="0" w:color="auto"/>
        <w:left w:val="none" w:sz="0" w:space="0" w:color="auto"/>
        <w:bottom w:val="none" w:sz="0" w:space="0" w:color="auto"/>
        <w:right w:val="none" w:sz="0" w:space="0" w:color="auto"/>
      </w:divBdr>
      <w:divsChild>
        <w:div w:id="1344822935">
          <w:marLeft w:val="0"/>
          <w:marRight w:val="0"/>
          <w:marTop w:val="0"/>
          <w:marBottom w:val="48"/>
          <w:divBdr>
            <w:top w:val="none" w:sz="0" w:space="0" w:color="auto"/>
            <w:left w:val="none" w:sz="0" w:space="0" w:color="auto"/>
            <w:bottom w:val="none" w:sz="0" w:space="0" w:color="auto"/>
            <w:right w:val="none" w:sz="0" w:space="0" w:color="auto"/>
          </w:divBdr>
          <w:divsChild>
            <w:div w:id="343092065">
              <w:marLeft w:val="2400"/>
              <w:marRight w:val="0"/>
              <w:marTop w:val="0"/>
              <w:marBottom w:val="16"/>
              <w:divBdr>
                <w:top w:val="none" w:sz="0" w:space="0" w:color="auto"/>
                <w:left w:val="none" w:sz="0" w:space="0" w:color="auto"/>
                <w:bottom w:val="none" w:sz="0" w:space="0" w:color="auto"/>
                <w:right w:val="none" w:sz="0" w:space="0" w:color="auto"/>
              </w:divBdr>
            </w:div>
            <w:div w:id="1228690593">
              <w:marLeft w:val="8"/>
              <w:marRight w:val="0"/>
              <w:marTop w:val="24"/>
              <w:marBottom w:val="0"/>
              <w:divBdr>
                <w:top w:val="single" w:sz="6" w:space="1" w:color="65DEE4"/>
                <w:left w:val="none" w:sz="0" w:space="0" w:color="auto"/>
                <w:bottom w:val="none" w:sz="0" w:space="0" w:color="auto"/>
                <w:right w:val="none" w:sz="0" w:space="0" w:color="auto"/>
              </w:divBdr>
            </w:div>
          </w:divsChild>
        </w:div>
        <w:div w:id="1542159929">
          <w:marLeft w:val="600"/>
          <w:marRight w:val="200"/>
          <w:marTop w:val="40"/>
          <w:marBottom w:val="40"/>
          <w:divBdr>
            <w:top w:val="none" w:sz="0" w:space="0" w:color="auto"/>
            <w:left w:val="none" w:sz="0" w:space="0" w:color="auto"/>
            <w:bottom w:val="none" w:sz="0" w:space="0" w:color="auto"/>
            <w:right w:val="none" w:sz="0" w:space="0" w:color="auto"/>
          </w:divBdr>
        </w:div>
        <w:div w:id="1819374563">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exhibits.org/causesofcolor/index.html" TargetMode="External"/><Relationship Id="rId5" Type="http://schemas.openxmlformats.org/officeDocument/2006/relationships/hyperlink" Target="https://connect.ubc.ca/bbcswebdav/pid-2559766-dt-content-rid-10494273_1/courses/SIS.UBC.EOSC.118.99C.2014WC.44220/Course_Files/moduleB/lesson12/download/Nassau-1978.pdf" TargetMode="External"/><Relationship Id="rId4" Type="http://schemas.openxmlformats.org/officeDocument/2006/relationships/hyperlink" Target="http://en.wikipedia.org/wiki/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2857</Characters>
  <Application>Microsoft Office Word</Application>
  <DocSecurity>0</DocSecurity>
  <Lines>23</Lines>
  <Paragraphs>6</Paragraphs>
  <ScaleCrop>false</ScaleCrop>
  <Company>Grizli777</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2015-02-13T22:40:00Z</dcterms:created>
  <dcterms:modified xsi:type="dcterms:W3CDTF">2015-02-13T22:40:00Z</dcterms:modified>
</cp:coreProperties>
</file>