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762" w:rsidRDefault="00AF2762" w:rsidP="00D27F03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AF2762">
        <w:rPr>
          <w:rFonts w:ascii="Verdana" w:eastAsia="Times New Roman" w:hAnsi="Verdana" w:cs="Times New Roman"/>
          <w:color w:val="333333"/>
          <w:sz w:val="11"/>
          <w:szCs w:val="11"/>
        </w:rPr>
        <w:t>Differentiate between "large scale" and "small scale" mining</w:t>
      </w:r>
    </w:p>
    <w:p w:rsidR="00D27F03" w:rsidRDefault="00D27F03" w:rsidP="00D27F03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small scale are with simple tools and are usually involved with the poor</w:t>
      </w:r>
      <w:r w:rsidR="003A25AA">
        <w:rPr>
          <w:rFonts w:ascii="Verdana" w:eastAsia="Times New Roman" w:hAnsi="Verdana" w:cs="Times New Roman"/>
          <w:color w:val="333333"/>
          <w:sz w:val="11"/>
          <w:szCs w:val="11"/>
        </w:rPr>
        <w:t>, or illegal (child)</w:t>
      </w:r>
    </w:p>
    <w:p w:rsidR="00D27F03" w:rsidRDefault="00D27F03" w:rsidP="00D27F03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labour intensive</w:t>
      </w:r>
    </w:p>
    <w:p w:rsidR="00D27F03" w:rsidRDefault="00D27F03" w:rsidP="00D27F03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- 13 million people world wide in 2013</w:t>
      </w:r>
    </w:p>
    <w:p w:rsidR="00D27F03" w:rsidRDefault="003A22DC" w:rsidP="00D27F03">
      <w:pPr>
        <w:spacing w:after="0" w:line="165" w:lineRule="atLeast"/>
        <w:rPr>
          <w:rFonts w:ascii="Verdana" w:hAnsi="Verdana"/>
          <w:color w:val="333333"/>
          <w:sz w:val="11"/>
          <w:szCs w:val="11"/>
          <w:shd w:val="clear" w:color="auto" w:fill="F5F5F5"/>
        </w:rPr>
      </w:pPr>
      <w:r>
        <w:rPr>
          <w:rFonts w:ascii="Verdana" w:hAnsi="Verdana"/>
          <w:color w:val="333333"/>
          <w:sz w:val="11"/>
          <w:szCs w:val="11"/>
          <w:shd w:val="clear" w:color="auto" w:fill="F5F5F5"/>
        </w:rPr>
        <w:t>Small-scale mining falls into two broad categories:</w:t>
      </w:r>
    </w:p>
    <w:p w:rsidR="003A22DC" w:rsidRDefault="003A22DC" w:rsidP="00D27F03">
      <w:pPr>
        <w:spacing w:after="0" w:line="165" w:lineRule="atLeast"/>
        <w:rPr>
          <w:rFonts w:ascii="Verdana" w:hAnsi="Verdana"/>
          <w:color w:val="333333"/>
          <w:sz w:val="11"/>
          <w:szCs w:val="11"/>
          <w:shd w:val="clear" w:color="auto" w:fill="F5F5F5"/>
        </w:rPr>
      </w:pPr>
      <w:r>
        <w:rPr>
          <w:rFonts w:ascii="Verdana" w:hAnsi="Verdana"/>
          <w:color w:val="333333"/>
          <w:sz w:val="11"/>
          <w:szCs w:val="11"/>
          <w:shd w:val="clear" w:color="auto" w:fill="F5F5F5"/>
        </w:rPr>
        <w:t>1 - The mining and quarrying of</w:t>
      </w:r>
      <w:r>
        <w:rPr>
          <w:rStyle w:val="apple-converted-space"/>
          <w:rFonts w:ascii="Verdana" w:hAnsi="Verdana"/>
          <w:color w:val="333333"/>
          <w:sz w:val="11"/>
          <w:szCs w:val="11"/>
          <w:shd w:val="clear" w:color="auto" w:fill="F5F5F5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  <w:shd w:val="clear" w:color="auto" w:fill="F5F5F5"/>
        </w:rPr>
        <w:t>industrial minerals and construction materials</w:t>
      </w:r>
      <w:r>
        <w:rPr>
          <w:rStyle w:val="apple-converted-space"/>
          <w:rFonts w:ascii="Verdana" w:hAnsi="Verdana"/>
          <w:color w:val="333333"/>
          <w:sz w:val="11"/>
          <w:szCs w:val="11"/>
          <w:shd w:val="clear" w:color="auto" w:fill="F5F5F5"/>
        </w:rPr>
        <w:t> </w:t>
      </w:r>
      <w:r>
        <w:rPr>
          <w:rFonts w:ascii="Verdana" w:hAnsi="Verdana"/>
          <w:color w:val="333333"/>
          <w:sz w:val="11"/>
          <w:szCs w:val="11"/>
          <w:shd w:val="clear" w:color="auto" w:fill="F5F5F5"/>
        </w:rPr>
        <w:t>on a small scale</w:t>
      </w:r>
    </w:p>
    <w:p w:rsidR="003A22DC" w:rsidRDefault="003A22DC" w:rsidP="00D27F03">
      <w:pPr>
        <w:spacing w:after="0" w:line="165" w:lineRule="atLeast"/>
        <w:rPr>
          <w:rFonts w:ascii="Verdana" w:hAnsi="Verdana"/>
          <w:color w:val="333333"/>
          <w:sz w:val="11"/>
          <w:szCs w:val="11"/>
          <w:shd w:val="clear" w:color="auto" w:fill="F5F5F5"/>
        </w:rPr>
      </w:pPr>
      <w:r>
        <w:rPr>
          <w:rFonts w:ascii="Verdana" w:hAnsi="Verdana"/>
          <w:color w:val="333333"/>
          <w:sz w:val="11"/>
          <w:szCs w:val="11"/>
          <w:shd w:val="clear" w:color="auto" w:fill="F5F5F5"/>
        </w:rPr>
        <w:t>2 - The mining of relatively</w:t>
      </w:r>
      <w:r>
        <w:rPr>
          <w:rStyle w:val="apple-converted-space"/>
          <w:rFonts w:ascii="Verdana" w:hAnsi="Verdana"/>
          <w:color w:val="333333"/>
          <w:sz w:val="11"/>
          <w:szCs w:val="11"/>
          <w:shd w:val="clear" w:color="auto" w:fill="F5F5F5"/>
        </w:rPr>
        <w:t> </w:t>
      </w:r>
      <w:r>
        <w:rPr>
          <w:rStyle w:val="enphasis"/>
          <w:rFonts w:ascii="Verdana" w:hAnsi="Verdana"/>
          <w:color w:val="0066CC"/>
          <w:sz w:val="11"/>
          <w:szCs w:val="11"/>
          <w:shd w:val="clear" w:color="auto" w:fill="F5F5F5"/>
        </w:rPr>
        <w:t>high-value minerals</w:t>
      </w:r>
      <w:r>
        <w:rPr>
          <w:rFonts w:ascii="Verdana" w:hAnsi="Verdana"/>
          <w:color w:val="333333"/>
          <w:sz w:val="11"/>
          <w:szCs w:val="11"/>
          <w:shd w:val="clear" w:color="auto" w:fill="F5F5F5"/>
        </w:rPr>
        <w:t>, notably gold and precious stones.</w:t>
      </w:r>
    </w:p>
    <w:p w:rsidR="003A22DC" w:rsidRDefault="003A22DC" w:rsidP="00D27F03">
      <w:pPr>
        <w:spacing w:after="0" w:line="165" w:lineRule="atLeast"/>
        <w:rPr>
          <w:rFonts w:ascii="Verdana" w:hAnsi="Verdana"/>
          <w:color w:val="333333"/>
          <w:sz w:val="11"/>
          <w:szCs w:val="11"/>
          <w:shd w:val="clear" w:color="auto" w:fill="F5F5F5"/>
        </w:rPr>
      </w:pPr>
    </w:p>
    <w:p w:rsidR="003A22DC" w:rsidRDefault="003A22DC" w:rsidP="00D27F03">
      <w:pPr>
        <w:spacing w:after="0" w:line="165" w:lineRule="atLeast"/>
        <w:rPr>
          <w:rFonts w:ascii="Verdana" w:hAnsi="Verdana"/>
          <w:color w:val="333333"/>
          <w:sz w:val="11"/>
          <w:szCs w:val="11"/>
          <w:shd w:val="clear" w:color="auto" w:fill="F5F5F5"/>
        </w:rPr>
      </w:pPr>
    </w:p>
    <w:p w:rsidR="003A22DC" w:rsidRPr="00AF2762" w:rsidRDefault="003A22DC" w:rsidP="00D27F03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AF2762" w:rsidRDefault="00AF2762" w:rsidP="00D27F03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AF2762">
        <w:rPr>
          <w:rFonts w:ascii="Verdana" w:eastAsia="Times New Roman" w:hAnsi="Verdana" w:cs="Times New Roman"/>
          <w:color w:val="333333"/>
          <w:sz w:val="11"/>
          <w:szCs w:val="11"/>
        </w:rPr>
        <w:t>Differentiate between "artisanal" and "small scale" mining</w:t>
      </w:r>
    </w:p>
    <w:p w:rsidR="003A22DC" w:rsidRDefault="003A22DC" w:rsidP="003A22DC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3A22DC" w:rsidRDefault="003A22DC" w:rsidP="003A22DC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Style w:val="enphasis"/>
          <w:rFonts w:ascii="Verdana" w:hAnsi="Verdana"/>
          <w:color w:val="0066CC"/>
          <w:sz w:val="11"/>
          <w:szCs w:val="11"/>
        </w:rPr>
        <w:t>Artisanal mining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typically uses manual labour, simple tools, and basic recovery and processing techniques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</w:p>
    <w:p w:rsidR="003A22DC" w:rsidRDefault="003A22DC" w:rsidP="003A22DC">
      <w:pPr>
        <w:spacing w:after="0" w:line="165" w:lineRule="atLeast"/>
        <w:rPr>
          <w:rFonts w:ascii="Verdana" w:hAnsi="Verdana"/>
          <w:color w:val="333333"/>
          <w:sz w:val="11"/>
          <w:szCs w:val="11"/>
          <w:shd w:val="clear" w:color="auto" w:fill="F5F5F5"/>
        </w:rPr>
      </w:pPr>
      <w:r>
        <w:rPr>
          <w:rFonts w:ascii="Verdana" w:hAnsi="Verdana"/>
          <w:color w:val="333333"/>
          <w:sz w:val="11"/>
          <w:szCs w:val="11"/>
          <w:shd w:val="clear" w:color="auto" w:fill="F5F5F5"/>
        </w:rPr>
        <w:t>- "Artisanal mining means small-scale mining involving the extraction of minerals with the simplest of tools, on a subsistence level</w:t>
      </w:r>
    </w:p>
    <w:p w:rsidR="003A22DC" w:rsidRDefault="003A22DC" w:rsidP="003A22DC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Style w:val="enphasis"/>
          <w:rFonts w:ascii="Verdana" w:hAnsi="Verdana"/>
          <w:color w:val="0066CC"/>
          <w:sz w:val="11"/>
          <w:szCs w:val="11"/>
        </w:rPr>
        <w:t>small-scale mining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is also labour-intensive but employs a higher level of mechanisation and more sophisticated processes</w:t>
      </w:r>
    </w:p>
    <w:p w:rsidR="003A22DC" w:rsidRPr="00AF2762" w:rsidRDefault="003A22DC" w:rsidP="003A22DC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AF2762" w:rsidRDefault="00AF2762" w:rsidP="00D27F03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AF2762">
        <w:rPr>
          <w:rFonts w:ascii="Verdana" w:eastAsia="Times New Roman" w:hAnsi="Verdana" w:cs="Times New Roman"/>
          <w:color w:val="333333"/>
          <w:sz w:val="11"/>
          <w:szCs w:val="11"/>
        </w:rPr>
        <w:t>Describe the difficulties and opportunities presented with respect to artisanal and small scale mining</w:t>
      </w:r>
    </w:p>
    <w:p w:rsidR="003A22DC" w:rsidRDefault="003A22DC" w:rsidP="003A22DC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3A22DC" w:rsidRDefault="003A22DC" w:rsidP="003A22DC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illegal practices, child labor</w:t>
      </w:r>
    </w:p>
    <w:p w:rsidR="003A22DC" w:rsidRDefault="003A22DC" w:rsidP="003A22DC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-harsh dangerous positions, exploiting poor</w:t>
      </w:r>
    </w:p>
    <w:p w:rsidR="003A22DC" w:rsidRPr="00AF2762" w:rsidRDefault="003A22DC" w:rsidP="003A22DC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AF2762" w:rsidRDefault="00AF2762" w:rsidP="00D27F03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AF2762">
        <w:rPr>
          <w:rFonts w:ascii="Verdana" w:eastAsia="Times New Roman" w:hAnsi="Verdana" w:cs="Times New Roman"/>
          <w:color w:val="333333"/>
          <w:sz w:val="11"/>
          <w:szCs w:val="11"/>
        </w:rPr>
        <w:t>Describe the Diamond Development Initiative (DDI) and the Communities and Small Scale Mining (CASM) organization</w:t>
      </w:r>
    </w:p>
    <w:p w:rsidR="003A22DC" w:rsidRDefault="003A22DC" w:rsidP="003A22DC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3A22DC" w:rsidRDefault="003A22DC" w:rsidP="003A22DC">
      <w:pPr>
        <w:spacing w:after="0" w:line="165" w:lineRule="atLeast"/>
        <w:rPr>
          <w:rStyle w:val="apple-converted-space"/>
          <w:rFonts w:ascii="Verdana" w:hAnsi="Verdana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DDI (</w:t>
      </w:r>
      <w:hyperlink r:id="rId5" w:tgtFrame="_blank" w:tooltip="Web link" w:history="1">
        <w:r>
          <w:rPr>
            <w:rStyle w:val="Hyperlink"/>
            <w:rFonts w:ascii="Verdana" w:hAnsi="Verdana"/>
            <w:color w:val="2C4296"/>
            <w:sz w:val="11"/>
            <w:szCs w:val="11"/>
          </w:rPr>
          <w:t>Diamond Development Initiative</w:t>
        </w:r>
      </w:hyperlink>
      <w:r>
        <w:rPr>
          <w:rStyle w:val="apple-converted-space"/>
          <w:rFonts w:ascii="Verdana" w:hAnsi="Verdana"/>
          <w:color w:val="333333"/>
          <w:sz w:val="11"/>
          <w:szCs w:val="11"/>
        </w:rPr>
        <w:t> ) is against illegal diamond mining, small scale:</w:t>
      </w:r>
    </w:p>
    <w:p w:rsidR="00B67E40" w:rsidRDefault="00B67E40" w:rsidP="003A22DC">
      <w:pPr>
        <w:spacing w:after="0" w:line="165" w:lineRule="atLeast"/>
        <w:rPr>
          <w:rStyle w:val="apple-converted-space"/>
          <w:rFonts w:ascii="Verdana" w:hAnsi="Verdana"/>
          <w:color w:val="333333"/>
          <w:sz w:val="11"/>
          <w:szCs w:val="11"/>
        </w:rPr>
      </w:pPr>
    </w:p>
    <w:p w:rsidR="00B67E40" w:rsidRDefault="00B67E40" w:rsidP="003A22DC">
      <w:pPr>
        <w:spacing w:after="0" w:line="165" w:lineRule="atLeast"/>
        <w:rPr>
          <w:rStyle w:val="apple-converted-space"/>
          <w:rFonts w:ascii="Verdana" w:hAnsi="Verdana"/>
          <w:color w:val="333333"/>
          <w:sz w:val="11"/>
          <w:szCs w:val="11"/>
        </w:rPr>
      </w:pPr>
      <w:hyperlink r:id="rId6" w:tgtFrame="_blank" w:tooltip="Web link" w:history="1">
        <w:r>
          <w:rPr>
            <w:rStyle w:val="Hyperlink"/>
            <w:rFonts w:ascii="Verdana" w:hAnsi="Verdana"/>
            <w:color w:val="2C4296"/>
            <w:sz w:val="11"/>
            <w:szCs w:val="11"/>
          </w:rPr>
          <w:t>CASM</w:t>
        </w:r>
      </w:hyperlink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is a global networking and coordination facility with a stated mission to "reduce poverty by improving the environmental, social, and economic performance of artisanal and small-scale mining in developing countries."</w:t>
      </w:r>
    </w:p>
    <w:p w:rsidR="003A22DC" w:rsidRDefault="003A22DC" w:rsidP="003A22DC">
      <w:pPr>
        <w:spacing w:after="0" w:line="165" w:lineRule="atLeast"/>
        <w:rPr>
          <w:rStyle w:val="apple-converted-space"/>
          <w:rFonts w:ascii="Verdana" w:hAnsi="Verdana"/>
          <w:color w:val="333333"/>
          <w:sz w:val="11"/>
          <w:szCs w:val="11"/>
        </w:rPr>
      </w:pPr>
    </w:p>
    <w:p w:rsidR="00B67E40" w:rsidRDefault="00E602F8" w:rsidP="003A22DC">
      <w:pPr>
        <w:spacing w:after="0" w:line="165" w:lineRule="atLeast"/>
        <w:rPr>
          <w:rStyle w:val="apple-converted-space"/>
          <w:rFonts w:ascii="Verdana" w:hAnsi="Verdana"/>
          <w:color w:val="333333"/>
          <w:sz w:val="11"/>
          <w:szCs w:val="11"/>
        </w:rPr>
      </w:pPr>
      <w:r>
        <w:rPr>
          <w:rStyle w:val="apple-converted-space"/>
          <w:rFonts w:ascii="Verdana" w:hAnsi="Verdana"/>
          <w:color w:val="333333"/>
          <w:sz w:val="11"/>
          <w:szCs w:val="11"/>
        </w:rPr>
        <w:t>DDI contributes to UN goals:</w:t>
      </w:r>
    </w:p>
    <w:p w:rsidR="003A22DC" w:rsidRDefault="003A22DC" w:rsidP="003A22DC">
      <w:pPr>
        <w:pStyle w:val="NormalWeb"/>
        <w:spacing w:before="0" w:beforeAutospacing="0" w:after="0" w:afterAutospacing="0" w:line="162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GOAL 1: Eradicate extreme poverty and hunger</w:t>
      </w:r>
    </w:p>
    <w:p w:rsidR="003A22DC" w:rsidRDefault="003A22DC" w:rsidP="003A22DC">
      <w:pPr>
        <w:pStyle w:val="NormalWeb"/>
        <w:spacing w:before="0" w:beforeAutospacing="0" w:after="0" w:afterAutospacing="0" w:line="162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GOAL 2: Achieve universal primary education</w:t>
      </w:r>
    </w:p>
    <w:p w:rsidR="003A22DC" w:rsidRDefault="003A22DC" w:rsidP="003A22DC">
      <w:pPr>
        <w:pStyle w:val="NormalWeb"/>
        <w:spacing w:before="0" w:beforeAutospacing="0" w:after="0" w:afterAutospacing="0" w:line="162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GOAL 3: Promote gender equality and empower women</w:t>
      </w:r>
    </w:p>
    <w:p w:rsidR="003A22DC" w:rsidRDefault="003A22DC" w:rsidP="003A22DC">
      <w:pPr>
        <w:pStyle w:val="NormalWeb"/>
        <w:spacing w:before="0" w:beforeAutospacing="0" w:after="0" w:afterAutospacing="0" w:line="162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GOAL 4: Reduce child mortality</w:t>
      </w:r>
    </w:p>
    <w:p w:rsidR="003A22DC" w:rsidRDefault="003A22DC" w:rsidP="003A22DC">
      <w:pPr>
        <w:pStyle w:val="NormalWeb"/>
        <w:spacing w:before="0" w:beforeAutospacing="0" w:after="0" w:afterAutospacing="0" w:line="162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GOAL 5: Improve maternal health</w:t>
      </w:r>
    </w:p>
    <w:p w:rsidR="003A22DC" w:rsidRDefault="003A22DC" w:rsidP="003A22DC">
      <w:pPr>
        <w:pStyle w:val="NormalWeb"/>
        <w:spacing w:before="0" w:beforeAutospacing="0" w:after="0" w:afterAutospacing="0" w:line="162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GOAL 6: Combat HIV/AIDS, malaria, and other diseases</w:t>
      </w:r>
    </w:p>
    <w:p w:rsidR="003A22DC" w:rsidRDefault="003A22DC" w:rsidP="003A22DC">
      <w:pPr>
        <w:pStyle w:val="NormalWeb"/>
        <w:spacing w:before="0" w:beforeAutospacing="0" w:after="0" w:afterAutospacing="0" w:line="162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GOAL 7: Ensure environmental sustainability</w:t>
      </w:r>
    </w:p>
    <w:p w:rsidR="003A22DC" w:rsidRDefault="003A22DC" w:rsidP="003A22DC">
      <w:pPr>
        <w:pStyle w:val="NormalWeb"/>
        <w:spacing w:before="0" w:beforeAutospacing="0" w:after="0" w:afterAutospacing="0" w:line="162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GOAL 8: Develop a global partnership for development</w:t>
      </w:r>
    </w:p>
    <w:p w:rsidR="003A22DC" w:rsidRDefault="003A22DC" w:rsidP="003A22DC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3A22DC" w:rsidRDefault="003A22DC" w:rsidP="003A22DC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3A22DC" w:rsidRPr="00AF2762" w:rsidRDefault="003A22DC" w:rsidP="003A22DC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AF2762" w:rsidRDefault="00AF2762" w:rsidP="00D27F03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AF2762">
        <w:rPr>
          <w:rFonts w:ascii="Verdana" w:eastAsia="Times New Roman" w:hAnsi="Verdana" w:cs="Times New Roman"/>
          <w:color w:val="333333"/>
          <w:sz w:val="11"/>
          <w:szCs w:val="11"/>
        </w:rPr>
        <w:t>Describe the term "fair trade" as it applies to gems, metals, and jewellery</w:t>
      </w:r>
    </w:p>
    <w:p w:rsidR="009C5C58" w:rsidRDefault="009C5C58" w:rsidP="009C5C58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9C5C58" w:rsidRDefault="009C5C58" w:rsidP="009C5C58">
      <w:pPr>
        <w:spacing w:after="0" w:line="165" w:lineRule="atLeast"/>
        <w:rPr>
          <w:rFonts w:ascii="Verdana" w:hAnsi="Verdana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fair trade: </w:t>
      </w:r>
      <w:r>
        <w:rPr>
          <w:rFonts w:ascii="Verdana" w:hAnsi="Verdana"/>
          <w:color w:val="333333"/>
          <w:sz w:val="11"/>
          <w:szCs w:val="11"/>
        </w:rPr>
        <w:t>environmental protection, fair labor conditions and workers rights, product integrity, cultural appreciation, supply chain transparency, and fair value and full information for consumers</w:t>
      </w:r>
    </w:p>
    <w:p w:rsidR="009C5C58" w:rsidRDefault="009C5C58" w:rsidP="009C5C58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- hard to trace gold</w:t>
      </w:r>
    </w:p>
    <w:p w:rsidR="009C5C58" w:rsidRPr="00AF2762" w:rsidRDefault="009C5C58" w:rsidP="009C5C58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AF2762" w:rsidRDefault="00AF2762" w:rsidP="00D27F03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AF2762">
        <w:rPr>
          <w:rFonts w:ascii="Verdana" w:eastAsia="Times New Roman" w:hAnsi="Verdana" w:cs="Times New Roman"/>
          <w:color w:val="333333"/>
          <w:sz w:val="11"/>
          <w:szCs w:val="11"/>
        </w:rPr>
        <w:t>Describe the "Chain of Custody Principle"</w:t>
      </w:r>
    </w:p>
    <w:p w:rsidR="00605D2C" w:rsidRDefault="00605D2C" w:rsidP="00605D2C">
      <w:pPr>
        <w:spacing w:after="0" w:line="165" w:lineRule="atLeast"/>
        <w:ind w:left="720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05D2C" w:rsidRDefault="00605D2C" w:rsidP="00605D2C">
      <w:pPr>
        <w:spacing w:after="0" w:line="165" w:lineRule="atLeast"/>
        <w:rPr>
          <w:rFonts w:ascii="Verdana" w:hAnsi="Verdana"/>
          <w:color w:val="0066CC"/>
          <w:sz w:val="11"/>
          <w:szCs w:val="11"/>
        </w:rPr>
      </w:pPr>
      <w:r>
        <w:rPr>
          <w:rFonts w:ascii="Verdana" w:hAnsi="Verdana"/>
          <w:color w:val="0066CC"/>
          <w:sz w:val="11"/>
          <w:szCs w:val="11"/>
        </w:rPr>
        <w:t xml:space="preserve">Chain of Custody - </w:t>
      </w:r>
      <w:r>
        <w:rPr>
          <w:rFonts w:ascii="Verdana" w:hAnsi="Verdana"/>
          <w:color w:val="333333"/>
          <w:sz w:val="11"/>
          <w:szCs w:val="11"/>
        </w:rPr>
        <w:t>each component and step leading to a finished piece of jewellery is tracked and documentation is created for each aspect of the process</w:t>
      </w:r>
    </w:p>
    <w:p w:rsidR="00605D2C" w:rsidRDefault="00605D2C" w:rsidP="00605D2C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ab/>
        <w:t>- "</w:t>
      </w:r>
      <w:r>
        <w:rPr>
          <w:rFonts w:ascii="Verdana" w:hAnsi="Verdana"/>
          <w:color w:val="0066CC"/>
          <w:sz w:val="11"/>
          <w:szCs w:val="11"/>
        </w:rPr>
        <w:t>Mine to Market"</w:t>
      </w:r>
    </w:p>
    <w:p w:rsidR="00605D2C" w:rsidRDefault="00605D2C" w:rsidP="00605D2C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>- ASM (smaller organizations)</w:t>
      </w:r>
    </w:p>
    <w:p w:rsidR="00605D2C" w:rsidRDefault="00605D2C" w:rsidP="00605D2C">
      <w:pPr>
        <w:spacing w:after="0" w:line="165" w:lineRule="atLeast"/>
        <w:rPr>
          <w:rStyle w:val="apple-converted-space"/>
          <w:rFonts w:ascii="Verdana" w:hAnsi="Verdana"/>
          <w:color w:val="333333"/>
          <w:sz w:val="11"/>
          <w:szCs w:val="11"/>
        </w:rPr>
      </w:pPr>
      <w:r>
        <w:rPr>
          <w:rFonts w:ascii="Verdana" w:eastAsia="Times New Roman" w:hAnsi="Verdana" w:cs="Times New Roman"/>
          <w:color w:val="333333"/>
          <w:sz w:val="11"/>
          <w:szCs w:val="11"/>
        </w:rPr>
        <w:t xml:space="preserve">- </w:t>
      </w:r>
      <w:hyperlink r:id="rId7" w:history="1">
        <w:r>
          <w:rPr>
            <w:rStyle w:val="Hyperlink"/>
            <w:rFonts w:ascii="Verdana" w:hAnsi="Verdana"/>
            <w:color w:val="2C4296"/>
            <w:sz w:val="11"/>
            <w:szCs w:val="11"/>
          </w:rPr>
          <w:t>Responsible Jewellery Council</w:t>
        </w:r>
      </w:hyperlink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 xml:space="preserve">(RJC) - </w:t>
      </w:r>
      <w:r>
        <w:rPr>
          <w:rStyle w:val="enphasis"/>
          <w:rFonts w:ascii="Verdana" w:hAnsi="Verdana"/>
          <w:color w:val="0066CC"/>
          <w:sz w:val="11"/>
          <w:szCs w:val="11"/>
        </w:rPr>
        <w:t>Code of Practices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  <w:r>
        <w:rPr>
          <w:rFonts w:ascii="Verdana" w:hAnsi="Verdana"/>
          <w:color w:val="333333"/>
          <w:sz w:val="11"/>
          <w:szCs w:val="11"/>
        </w:rPr>
        <w:t>addresses human rights, labour rights, environmental impact, mining practices, product disclosure and many more important topics in the jewellery supply chain.</w:t>
      </w:r>
      <w:r>
        <w:rPr>
          <w:rStyle w:val="apple-converted-space"/>
          <w:rFonts w:ascii="Verdana" w:hAnsi="Verdana"/>
          <w:color w:val="333333"/>
          <w:sz w:val="11"/>
          <w:szCs w:val="11"/>
        </w:rPr>
        <w:t> </w:t>
      </w:r>
    </w:p>
    <w:p w:rsidR="00605D2C" w:rsidRDefault="00605D2C" w:rsidP="00605D2C">
      <w:pPr>
        <w:spacing w:after="0" w:line="165" w:lineRule="atLeast"/>
        <w:rPr>
          <w:rStyle w:val="apple-converted-space"/>
          <w:rFonts w:ascii="Verdana" w:hAnsi="Verdana"/>
          <w:color w:val="333333"/>
          <w:sz w:val="11"/>
          <w:szCs w:val="11"/>
        </w:rPr>
      </w:pPr>
    </w:p>
    <w:p w:rsidR="00605D2C" w:rsidRPr="00605D2C" w:rsidRDefault="00605D2C" w:rsidP="00605D2C">
      <w:pPr>
        <w:numPr>
          <w:ilvl w:val="0"/>
          <w:numId w:val="2"/>
        </w:numPr>
        <w:spacing w:before="100" w:beforeAutospacing="1" w:after="100" w:afterAutospacing="1" w:line="165" w:lineRule="atLeast"/>
        <w:ind w:left="113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05D2C">
        <w:rPr>
          <w:rFonts w:ascii="Verdana" w:eastAsia="Times New Roman" w:hAnsi="Verdana" w:cs="Times New Roman"/>
          <w:color w:val="333333"/>
          <w:sz w:val="11"/>
          <w:szCs w:val="11"/>
        </w:rPr>
        <w:t>Conflict Assessment (see figure below)</w:t>
      </w:r>
    </w:p>
    <w:p w:rsidR="00605D2C" w:rsidRPr="00605D2C" w:rsidRDefault="00605D2C" w:rsidP="00605D2C">
      <w:pPr>
        <w:numPr>
          <w:ilvl w:val="1"/>
          <w:numId w:val="3"/>
        </w:numPr>
        <w:spacing w:before="100" w:beforeAutospacing="1" w:after="100" w:afterAutospacing="1" w:line="135" w:lineRule="atLeast"/>
        <w:ind w:left="226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05D2C">
        <w:rPr>
          <w:rFonts w:ascii="Verdana" w:eastAsia="Times New Roman" w:hAnsi="Verdana" w:cs="Times New Roman"/>
          <w:color w:val="333333"/>
          <w:sz w:val="11"/>
          <w:szCs w:val="11"/>
        </w:rPr>
        <w:t>whether there is conflict near the producing mine</w:t>
      </w:r>
    </w:p>
    <w:p w:rsidR="00605D2C" w:rsidRPr="00605D2C" w:rsidRDefault="00605D2C" w:rsidP="00605D2C">
      <w:pPr>
        <w:numPr>
          <w:ilvl w:val="0"/>
          <w:numId w:val="3"/>
        </w:numPr>
        <w:spacing w:before="100" w:beforeAutospacing="1" w:after="100" w:afterAutospacing="1" w:line="165" w:lineRule="atLeast"/>
        <w:ind w:left="113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05D2C">
        <w:rPr>
          <w:rFonts w:ascii="Verdana" w:eastAsia="Times New Roman" w:hAnsi="Verdana" w:cs="Times New Roman"/>
          <w:color w:val="333333"/>
          <w:sz w:val="11"/>
          <w:szCs w:val="11"/>
        </w:rPr>
        <w:t>Company Assessment</w:t>
      </w:r>
    </w:p>
    <w:p w:rsidR="00605D2C" w:rsidRPr="00605D2C" w:rsidRDefault="00605D2C" w:rsidP="00605D2C">
      <w:pPr>
        <w:numPr>
          <w:ilvl w:val="1"/>
          <w:numId w:val="4"/>
        </w:numPr>
        <w:spacing w:before="100" w:beforeAutospacing="1" w:after="100" w:afterAutospacing="1" w:line="135" w:lineRule="atLeast"/>
        <w:ind w:left="226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05D2C">
        <w:rPr>
          <w:rFonts w:ascii="Verdana" w:eastAsia="Times New Roman" w:hAnsi="Verdana" w:cs="Times New Roman"/>
          <w:color w:val="333333"/>
          <w:sz w:val="11"/>
          <w:szCs w:val="11"/>
        </w:rPr>
        <w:t>whether the company operates in a broader conflict region</w:t>
      </w:r>
    </w:p>
    <w:p w:rsidR="00605D2C" w:rsidRPr="00605D2C" w:rsidRDefault="00605D2C" w:rsidP="00605D2C">
      <w:pPr>
        <w:numPr>
          <w:ilvl w:val="0"/>
          <w:numId w:val="4"/>
        </w:numPr>
        <w:spacing w:before="100" w:beforeAutospacing="1" w:after="100" w:afterAutospacing="1" w:line="165" w:lineRule="atLeast"/>
        <w:ind w:left="113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05D2C">
        <w:rPr>
          <w:rFonts w:ascii="Verdana" w:eastAsia="Times New Roman" w:hAnsi="Verdana" w:cs="Times New Roman"/>
          <w:color w:val="333333"/>
          <w:sz w:val="11"/>
          <w:szCs w:val="11"/>
        </w:rPr>
        <w:t>Commodity Assessment</w:t>
      </w:r>
    </w:p>
    <w:p w:rsidR="00605D2C" w:rsidRPr="00605D2C" w:rsidRDefault="00605D2C" w:rsidP="00605D2C">
      <w:pPr>
        <w:numPr>
          <w:ilvl w:val="1"/>
          <w:numId w:val="5"/>
        </w:numPr>
        <w:spacing w:before="100" w:beforeAutospacing="1" w:after="100" w:afterAutospacing="1" w:line="135" w:lineRule="atLeast"/>
        <w:ind w:left="226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05D2C">
        <w:rPr>
          <w:rFonts w:ascii="Verdana" w:eastAsia="Times New Roman" w:hAnsi="Verdana" w:cs="Times New Roman"/>
          <w:color w:val="333333"/>
          <w:sz w:val="11"/>
          <w:szCs w:val="11"/>
        </w:rPr>
        <w:t>whether the company can move its commodity safely, such as across a conflict region</w:t>
      </w:r>
    </w:p>
    <w:p w:rsidR="00605D2C" w:rsidRPr="00605D2C" w:rsidRDefault="00605D2C" w:rsidP="00605D2C">
      <w:pPr>
        <w:numPr>
          <w:ilvl w:val="0"/>
          <w:numId w:val="5"/>
        </w:numPr>
        <w:spacing w:before="100" w:beforeAutospacing="1" w:after="100" w:afterAutospacing="1" w:line="165" w:lineRule="atLeast"/>
        <w:ind w:left="113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05D2C">
        <w:rPr>
          <w:rFonts w:ascii="Verdana" w:eastAsia="Times New Roman" w:hAnsi="Verdana" w:cs="Times New Roman"/>
          <w:color w:val="333333"/>
          <w:sz w:val="11"/>
          <w:szCs w:val="11"/>
        </w:rPr>
        <w:t>Externally Sourced Gold Assessment</w:t>
      </w:r>
    </w:p>
    <w:p w:rsidR="00605D2C" w:rsidRPr="00605D2C" w:rsidRDefault="00605D2C" w:rsidP="00605D2C">
      <w:pPr>
        <w:numPr>
          <w:ilvl w:val="1"/>
          <w:numId w:val="6"/>
        </w:numPr>
        <w:spacing w:before="100" w:beforeAutospacing="1" w:after="100" w:afterAutospacing="1" w:line="135" w:lineRule="atLeast"/>
        <w:ind w:left="226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05D2C">
        <w:rPr>
          <w:rFonts w:ascii="Verdana" w:eastAsia="Times New Roman" w:hAnsi="Verdana" w:cs="Times New Roman"/>
          <w:color w:val="333333"/>
          <w:sz w:val="11"/>
          <w:szCs w:val="11"/>
        </w:rPr>
        <w:t>whether the company acquires gold from outside the minesite, to ensure it is conflict free</w:t>
      </w:r>
    </w:p>
    <w:p w:rsidR="00605D2C" w:rsidRPr="00605D2C" w:rsidRDefault="00605D2C" w:rsidP="00605D2C">
      <w:pPr>
        <w:numPr>
          <w:ilvl w:val="0"/>
          <w:numId w:val="6"/>
        </w:numPr>
        <w:spacing w:before="100" w:beforeAutospacing="1" w:after="100" w:afterAutospacing="1" w:line="165" w:lineRule="atLeast"/>
        <w:ind w:left="113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05D2C">
        <w:rPr>
          <w:rFonts w:ascii="Verdana" w:eastAsia="Times New Roman" w:hAnsi="Verdana" w:cs="Times New Roman"/>
          <w:color w:val="333333"/>
          <w:sz w:val="11"/>
          <w:szCs w:val="11"/>
        </w:rPr>
        <w:t>Management Statement of Conformance</w:t>
      </w:r>
    </w:p>
    <w:p w:rsidR="00605D2C" w:rsidRPr="00AF2762" w:rsidRDefault="00605D2C" w:rsidP="00605D2C">
      <w:pPr>
        <w:numPr>
          <w:ilvl w:val="1"/>
          <w:numId w:val="7"/>
        </w:numPr>
        <w:spacing w:before="100" w:beforeAutospacing="1" w:after="100" w:afterAutospacing="1" w:line="135" w:lineRule="atLeast"/>
        <w:ind w:left="226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605D2C">
        <w:rPr>
          <w:rFonts w:ascii="Verdana" w:eastAsia="Times New Roman" w:hAnsi="Verdana" w:cs="Times New Roman"/>
          <w:color w:val="333333"/>
          <w:sz w:val="11"/>
          <w:szCs w:val="11"/>
        </w:rPr>
        <w:t>whether the company formally states conformance to the above variables</w:t>
      </w:r>
    </w:p>
    <w:p w:rsidR="00AF2762" w:rsidRDefault="00AF2762" w:rsidP="00D27F03">
      <w:pPr>
        <w:numPr>
          <w:ilvl w:val="0"/>
          <w:numId w:val="1"/>
        </w:num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 w:rsidRPr="00AF2762">
        <w:rPr>
          <w:rFonts w:ascii="Verdana" w:eastAsia="Times New Roman" w:hAnsi="Verdana" w:cs="Times New Roman"/>
          <w:color w:val="333333"/>
          <w:sz w:val="11"/>
          <w:szCs w:val="11"/>
        </w:rPr>
        <w:t>Compare and contrast the Chain of Custody Principle with the Kimberley Process Certification Scheme</w:t>
      </w:r>
    </w:p>
    <w:p w:rsidR="00605D2C" w:rsidRDefault="00605D2C" w:rsidP="00605D2C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</w:p>
    <w:p w:rsidR="00605D2C" w:rsidRPr="00AF2762" w:rsidRDefault="00605D2C" w:rsidP="00605D2C">
      <w:pPr>
        <w:spacing w:after="0" w:line="165" w:lineRule="atLeast"/>
        <w:rPr>
          <w:rFonts w:ascii="Verdana" w:eastAsia="Times New Roman" w:hAnsi="Verdana" w:cs="Times New Roman"/>
          <w:color w:val="333333"/>
          <w:sz w:val="11"/>
          <w:szCs w:val="11"/>
        </w:rPr>
      </w:pPr>
      <w:r>
        <w:rPr>
          <w:rFonts w:ascii="Verdana" w:hAnsi="Verdana"/>
          <w:color w:val="333333"/>
          <w:sz w:val="11"/>
          <w:szCs w:val="11"/>
        </w:rPr>
        <w:t>KPCS only applies to gemstones, not entire pieces of jewellery</w:t>
      </w:r>
    </w:p>
    <w:p w:rsidR="00F64143" w:rsidRDefault="00F64143" w:rsidP="00D27F03">
      <w:pPr>
        <w:spacing w:after="0"/>
      </w:pPr>
    </w:p>
    <w:sectPr w:rsidR="00F641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86747"/>
    <w:multiLevelType w:val="multilevel"/>
    <w:tmpl w:val="DB06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2C46C0"/>
    <w:multiLevelType w:val="multilevel"/>
    <w:tmpl w:val="6B20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AF2762"/>
    <w:rsid w:val="003A22DC"/>
    <w:rsid w:val="003A25AA"/>
    <w:rsid w:val="00605D2C"/>
    <w:rsid w:val="009C5C58"/>
    <w:rsid w:val="00AF2762"/>
    <w:rsid w:val="00B67E40"/>
    <w:rsid w:val="00D27F03"/>
    <w:rsid w:val="00E602F8"/>
    <w:rsid w:val="00F64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A22DC"/>
  </w:style>
  <w:style w:type="character" w:customStyle="1" w:styleId="enphasis">
    <w:name w:val="enphasis"/>
    <w:basedOn w:val="DefaultParagraphFont"/>
    <w:rsid w:val="003A22DC"/>
  </w:style>
  <w:style w:type="character" w:styleId="Hyperlink">
    <w:name w:val="Hyperlink"/>
    <w:basedOn w:val="DefaultParagraphFont"/>
    <w:uiPriority w:val="99"/>
    <w:semiHidden/>
    <w:unhideWhenUsed/>
    <w:rsid w:val="003A22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2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sponsiblejewelle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tisanalmining.org/" TargetMode="External"/><Relationship Id="rId5" Type="http://schemas.openxmlformats.org/officeDocument/2006/relationships/hyperlink" Target="http://www.ddiglobal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2015-04-17T20:15:00Z</dcterms:created>
  <dcterms:modified xsi:type="dcterms:W3CDTF">2015-04-18T01:29:00Z</dcterms:modified>
</cp:coreProperties>
</file>