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pPr>
      <w:r>
        <w:rPr>
          <w:rFonts w:ascii="Microsoft YaHei" w:hAnsi="Microsoft YaHei" w:eastAsia="Microsoft YaHei"/>
          <w:b/>
          <w:color w:val="1F2933"/>
          <w:sz w:val="48"/>
        </w:rPr>
        <w:t>PWL 项目完整组会 PPT</w:t>
      </w:r>
    </w:p>
    <w:p>
      <w:pPr>
        <w:spacing w:after="80"/>
      </w:pPr>
      <w:r>
        <w:rPr>
          <w:rFonts w:ascii="Microsoft YaHei" w:hAnsi="Microsoft YaHei" w:eastAsia="Microsoft YaHei"/>
          <w:b/>
          <w:color w:val="2E74B5"/>
          <w:sz w:val="30"/>
        </w:rPr>
        <w:t>逐页文字讲解稿与审核说明</w:t>
      </w:r>
    </w:p>
    <w:p>
      <w:pPr>
        <w:spacing w:after="400"/>
      </w:pPr>
      <w:r>
        <w:rPr>
          <w:rFonts w:ascii="Microsoft YaHei" w:hAnsi="Microsoft YaHei" w:eastAsia="Microsoft YaHei"/>
          <w:color w:val="5B6573"/>
          <w:sz w:val="21"/>
        </w:rPr>
        <w:t>对应文件：PWL项目全景介绍_完整组会版.pptx</w:t>
        <w:br/>
        <w:t>用途：人工审核、组会讲解、后续删减或增补页面时的内容依据</w:t>
      </w:r>
    </w:p>
    <w:p>
      <w:pPr>
        <w:spacing w:before="120" w:after="280"/>
        <w:ind w:left="173" w:right="173"/>
        <w:shd w:fill="E8F5F6"/>
      </w:pPr>
      <w:r>
        <w:rPr>
          <w:rFonts w:ascii="Microsoft YaHei" w:hAnsi="Microsoft YaHei" w:eastAsia="Microsoft YaHei"/>
          <w:b/>
          <w:color w:val="1F4D78"/>
          <w:sz w:val="21"/>
        </w:rPr>
        <w:t>使用原则：这份文档不是逐字演讲稿，而是每一页的“讲什么、为什么讲、依据是什么、哪里需要谨慎”。</w:t>
      </w:r>
    </w:p>
    <w:p>
      <w:pPr>
        <w:pStyle w:val="Heading1"/>
      </w:pPr>
      <w:r>
        <w:t>一、文档定位</w:t>
      </w:r>
    </w:p>
    <w:p>
      <w:pPr>
        <w:spacing w:before="0" w:after="100" w:line="300" w:lineRule="auto"/>
      </w:pPr>
      <w:r>
        <w:rPr>
          <w:rFonts w:ascii="Microsoft YaHei" w:hAnsi="Microsoft YaHei" w:eastAsia="Microsoft YaHei"/>
          <w:b/>
          <w:color w:val="1F4D78"/>
          <w:sz w:val="21"/>
        </w:rPr>
        <w:t>汇报对象：</w:t>
      </w:r>
      <w:r>
        <w:rPr>
          <w:rFonts w:ascii="Microsoft YaHei" w:hAnsi="Microsoft YaHei" w:eastAsia="Microsoft YaHei"/>
          <w:color w:val="1F2933"/>
          <w:sz w:val="21"/>
        </w:rPr>
        <w:t>组会听众，默认不要求听众预先掌握基函数、BCD–ADMM 或 COMSOL 热传导建模。</w:t>
      </w:r>
    </w:p>
    <w:p>
      <w:pPr>
        <w:spacing w:before="0" w:after="100" w:line="300" w:lineRule="auto"/>
      </w:pPr>
      <w:r>
        <w:rPr>
          <w:rFonts w:ascii="Microsoft YaHei" w:hAnsi="Microsoft YaHei" w:eastAsia="Microsoft YaHei"/>
          <w:b/>
          <w:color w:val="1F4D78"/>
          <w:sz w:val="21"/>
        </w:rPr>
        <w:t>汇报目标：</w:t>
      </w:r>
      <w:r>
        <w:rPr>
          <w:rFonts w:ascii="Microsoft YaHei" w:hAnsi="Microsoft YaHei" w:eastAsia="Microsoft YaHei"/>
          <w:color w:val="1F2933"/>
          <w:sz w:val="21"/>
        </w:rPr>
        <w:t>让听众理解当前实际完成了什么、如何复现、迁移后看到了什么结果，以及哪些结论仍然不能过度解释。</w:t>
      </w:r>
    </w:p>
    <w:p>
      <w:pPr>
        <w:spacing w:before="0" w:after="100" w:line="300" w:lineRule="auto"/>
      </w:pPr>
      <w:r>
        <w:rPr>
          <w:rFonts w:ascii="Microsoft YaHei" w:hAnsi="Microsoft YaHei" w:eastAsia="Microsoft YaHei"/>
          <w:b/>
          <w:color w:val="1F4D78"/>
          <w:sz w:val="21"/>
        </w:rPr>
        <w:t>PPT 规模：</w:t>
      </w:r>
      <w:r>
        <w:rPr>
          <w:rFonts w:ascii="Microsoft YaHei" w:hAnsi="Microsoft YaHei" w:eastAsia="Microsoft YaHei"/>
          <w:color w:val="1F2933"/>
          <w:sz w:val="21"/>
        </w:rPr>
        <w:t>完整版本共 40 页；页数不作为限制，后续可以按组会时间删减，但建议保留数据证据和局限性页面。</w:t>
      </w:r>
    </w:p>
    <w:p>
      <w:pPr>
        <w:pStyle w:val="Heading1"/>
      </w:pPr>
      <w:r>
        <w:t>二、页面模块总览</w:t>
      </w:r>
    </w:p>
    <w:tbl>
      <w:tblPr>
        <w:tblStyle w:val="TableGrid"/>
        <w:tblW w:type="dxa" w:w="9360"/>
        <w:tblLayout w:type="fixed"/>
        <w:tblLook w:firstColumn="1" w:firstRow="1" w:lastColumn="0" w:lastRow="0" w:noHBand="0" w:noVBand="1" w:val="04A0"/>
        <w:tblInd w:w="120" w:type="dxa"/>
      </w:tblPr>
      <w:tblGrid>
        <w:gridCol w:w="1100"/>
        <w:gridCol w:w="2100"/>
        <w:gridCol w:w="6160"/>
      </w:tblGrid>
      <w:tr>
        <w:tc>
          <w:tcPr>
            <w:tcW w:type="dxa" w:w="11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20"/>
              </w:rPr>
              <w:t>页码</w:t>
            </w:r>
          </w:p>
        </w:tc>
        <w:tc>
          <w:tcPr>
            <w:tcW w:type="dxa" w:w="210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20"/>
              </w:rPr>
              <w:t>模块</w:t>
            </w:r>
          </w:p>
        </w:tc>
        <w:tc>
          <w:tcPr>
            <w:tcW w:type="dxa" w:w="6160"/>
            <w:shd w:fill="E8EEF5"/>
            <w:tcMar>
              <w:top w:w="80" w:type="dxa"/>
              <w:start w:w="120" w:type="dxa"/>
              <w:bottom w:w="80" w:type="dxa"/>
              <w:end w:w="120" w:type="dxa"/>
            </w:tcMar>
            <w:vAlign w:val="center"/>
          </w:tcPr>
          <w:p>
            <w:pPr>
              <w:jc w:val="center"/>
            </w:pPr>
            <w:r>
              <w:rPr>
                <w:rFonts w:ascii="Microsoft YaHei" w:hAnsi="Microsoft YaHei" w:eastAsia="Microsoft YaHei"/>
                <w:b/>
                <w:color w:val="1F4D78"/>
                <w:sz w:val="20"/>
              </w:rPr>
              <w:t>讲解范围</w:t>
            </w:r>
          </w:p>
        </w:tc>
      </w:tr>
      <w:tr>
        <w:tc>
          <w:tcPr>
            <w:tcW w:type="dxa" w:w="1100"/>
            <w:tcMar>
              <w:top w:w="80" w:type="dxa"/>
              <w:start w:w="120" w:type="dxa"/>
              <w:bottom w:w="80" w:type="dxa"/>
              <w:end w:w="120" w:type="dxa"/>
            </w:tcMar>
            <w:vAlign w:val="center"/>
          </w:tcPr>
          <w:p>
            <w:r>
              <w:rPr>
                <w:rFonts w:ascii="Microsoft YaHei" w:hAnsi="Microsoft YaHei" w:eastAsia="Microsoft YaHei"/>
                <w:color w:val="1F2933"/>
                <w:sz w:val="19"/>
              </w:rPr>
              <w:t>01–12</w:t>
            </w:r>
          </w:p>
        </w:tc>
        <w:tc>
          <w:tcPr>
            <w:tcW w:type="dxa" w:w="2100"/>
            <w:tcMar>
              <w:top w:w="80" w:type="dxa"/>
              <w:start w:w="120" w:type="dxa"/>
              <w:bottom w:w="80" w:type="dxa"/>
              <w:end w:w="120" w:type="dxa"/>
            </w:tcMar>
            <w:vAlign w:val="center"/>
          </w:tcPr>
          <w:p>
            <w:r>
              <w:rPr>
                <w:rFonts w:ascii="Microsoft YaHei" w:hAnsi="Microsoft YaHei" w:eastAsia="Microsoft YaHei"/>
                <w:color w:val="1F2933"/>
                <w:sz w:val="19"/>
              </w:rPr>
              <w:t>主线叙事</w:t>
            </w:r>
          </w:p>
        </w:tc>
        <w:tc>
          <w:tcPr>
            <w:tcW w:type="dxa" w:w="6160"/>
            <w:tcMar>
              <w:top w:w="80" w:type="dxa"/>
              <w:start w:w="120" w:type="dxa"/>
              <w:bottom w:w="80" w:type="dxa"/>
              <w:end w:w="120" w:type="dxa"/>
            </w:tcMar>
            <w:vAlign w:val="center"/>
          </w:tcPr>
          <w:p>
            <w:r>
              <w:rPr>
                <w:rFonts w:ascii="Microsoft YaHei" w:hAnsi="Microsoft YaHei" w:eastAsia="Microsoft YaHei"/>
                <w:color w:val="1F2933"/>
                <w:sz w:val="19"/>
              </w:rPr>
              <w:t>研究问题、核心公式、原论文图、复现边界、迁移起点</w:t>
            </w:r>
          </w:p>
        </w:tc>
      </w:tr>
      <w:tr>
        <w:tc>
          <w:tcPr>
            <w:tcW w:type="dxa" w:w="1100"/>
            <w:tcMar>
              <w:top w:w="80" w:type="dxa"/>
              <w:start w:w="120" w:type="dxa"/>
              <w:bottom w:w="80" w:type="dxa"/>
              <w:end w:w="120" w:type="dxa"/>
            </w:tcMar>
            <w:vAlign w:val="center"/>
          </w:tcPr>
          <w:p>
            <w:r>
              <w:rPr>
                <w:rFonts w:ascii="Microsoft YaHei" w:hAnsi="Microsoft YaHei" w:eastAsia="Microsoft YaHei"/>
                <w:color w:val="1F2933"/>
                <w:sz w:val="19"/>
              </w:rPr>
              <w:t>13–21</w:t>
            </w:r>
          </w:p>
        </w:tc>
        <w:tc>
          <w:tcPr>
            <w:tcW w:type="dxa" w:w="2100"/>
            <w:tcMar>
              <w:top w:w="80" w:type="dxa"/>
              <w:start w:w="120" w:type="dxa"/>
              <w:bottom w:w="80" w:type="dxa"/>
              <w:end w:w="120" w:type="dxa"/>
            </w:tcMar>
            <w:vAlign w:val="center"/>
          </w:tcPr>
          <w:p>
            <w:r>
              <w:rPr>
                <w:rFonts w:ascii="Microsoft YaHei" w:hAnsi="Microsoft YaHei" w:eastAsia="Microsoft YaHei"/>
                <w:color w:val="1F2933"/>
                <w:sz w:val="19"/>
              </w:rPr>
              <w:t>算法与基函数补充</w:t>
            </w:r>
          </w:p>
        </w:tc>
        <w:tc>
          <w:tcPr>
            <w:tcW w:type="dxa" w:w="6160"/>
            <w:tcMar>
              <w:top w:w="80" w:type="dxa"/>
              <w:start w:w="120" w:type="dxa"/>
              <w:bottom w:w="80" w:type="dxa"/>
              <w:end w:w="120" w:type="dxa"/>
            </w:tcMar>
            <w:vAlign w:val="center"/>
          </w:tcPr>
          <w:p>
            <w:r>
              <w:rPr>
                <w:rFonts w:ascii="Microsoft YaHei" w:hAnsi="Microsoft YaHei" w:eastAsia="Microsoft YaHei"/>
                <w:color w:val="1F2933"/>
                <w:sz w:val="19"/>
              </w:rPr>
              <w:t>代码分层、H/B、完整公式与基函数、目标函数、BCD–ADMM、数值稳定性</w:t>
            </w:r>
          </w:p>
        </w:tc>
      </w:tr>
      <w:tr>
        <w:tc>
          <w:tcPr>
            <w:tcW w:type="dxa" w:w="1100"/>
            <w:tcMar>
              <w:top w:w="80" w:type="dxa"/>
              <w:start w:w="120" w:type="dxa"/>
              <w:bottom w:w="80" w:type="dxa"/>
              <w:end w:w="120" w:type="dxa"/>
            </w:tcMar>
            <w:vAlign w:val="center"/>
          </w:tcPr>
          <w:p>
            <w:r>
              <w:rPr>
                <w:rFonts w:ascii="Microsoft YaHei" w:hAnsi="Microsoft YaHei" w:eastAsia="Microsoft YaHei"/>
                <w:color w:val="1F2933"/>
                <w:sz w:val="19"/>
              </w:rPr>
              <w:t>22–26</w:t>
            </w:r>
          </w:p>
        </w:tc>
        <w:tc>
          <w:tcPr>
            <w:tcW w:type="dxa" w:w="2100"/>
            <w:tcMar>
              <w:top w:w="80" w:type="dxa"/>
              <w:start w:w="120" w:type="dxa"/>
              <w:bottom w:w="80" w:type="dxa"/>
              <w:end w:w="120" w:type="dxa"/>
            </w:tcMar>
            <w:vAlign w:val="center"/>
          </w:tcPr>
          <w:p>
            <w:r>
              <w:rPr>
                <w:rFonts w:ascii="Microsoft YaHei" w:hAnsi="Microsoft YaHei" w:eastAsia="Microsoft YaHei"/>
                <w:color w:val="1F2933"/>
                <w:sz w:val="19"/>
              </w:rPr>
              <w:t>论文复现协议</w:t>
            </w:r>
          </w:p>
        </w:tc>
        <w:tc>
          <w:tcPr>
            <w:tcW w:type="dxa" w:w="6160"/>
            <w:tcMar>
              <w:top w:w="80" w:type="dxa"/>
              <w:start w:w="120" w:type="dxa"/>
              <w:bottom w:w="80" w:type="dxa"/>
              <w:end w:w="120" w:type="dxa"/>
            </w:tcMar>
            <w:vAlign w:val="center"/>
          </w:tcPr>
          <w:p>
            <w:r>
              <w:rPr>
                <w:rFonts w:ascii="Microsoft YaHei" w:hAnsi="Microsoft YaHei" w:eastAsia="Microsoft YaHei"/>
                <w:color w:val="1F2933"/>
                <w:sz w:val="19"/>
              </w:rPr>
              <w:t>公共数据、IV-A、IV-B、IV-C、可追溯输出</w:t>
            </w:r>
          </w:p>
        </w:tc>
      </w:tr>
      <w:tr>
        <w:tc>
          <w:tcPr>
            <w:tcW w:type="dxa" w:w="1100"/>
            <w:tcMar>
              <w:top w:w="80" w:type="dxa"/>
              <w:start w:w="120" w:type="dxa"/>
              <w:bottom w:w="80" w:type="dxa"/>
              <w:end w:w="120" w:type="dxa"/>
            </w:tcMar>
            <w:vAlign w:val="center"/>
          </w:tcPr>
          <w:p>
            <w:r>
              <w:rPr>
                <w:rFonts w:ascii="Microsoft YaHei" w:hAnsi="Microsoft YaHei" w:eastAsia="Microsoft YaHei"/>
                <w:color w:val="1F2933"/>
                <w:sz w:val="19"/>
              </w:rPr>
              <w:t>27–35</w:t>
            </w:r>
          </w:p>
        </w:tc>
        <w:tc>
          <w:tcPr>
            <w:tcW w:type="dxa" w:w="2100"/>
            <w:tcMar>
              <w:top w:w="80" w:type="dxa"/>
              <w:start w:w="120" w:type="dxa"/>
              <w:bottom w:w="80" w:type="dxa"/>
              <w:end w:w="120" w:type="dxa"/>
            </w:tcMar>
            <w:vAlign w:val="center"/>
          </w:tcPr>
          <w:p>
            <w:r>
              <w:rPr>
                <w:rFonts w:ascii="Microsoft YaHei" w:hAnsi="Microsoft YaHei" w:eastAsia="Microsoft YaHei"/>
                <w:color w:val="1F2933"/>
                <w:sz w:val="19"/>
              </w:rPr>
              <w:t>COMSOL 与结果</w:t>
            </w:r>
          </w:p>
        </w:tc>
        <w:tc>
          <w:tcPr>
            <w:tcW w:type="dxa" w:w="6160"/>
            <w:tcMar>
              <w:top w:w="80" w:type="dxa"/>
              <w:start w:w="120" w:type="dxa"/>
              <w:bottom w:w="80" w:type="dxa"/>
              <w:end w:w="120" w:type="dxa"/>
            </w:tcMar>
            <w:vAlign w:val="center"/>
          </w:tcPr>
          <w:p>
            <w:r>
              <w:rPr>
                <w:rFonts w:ascii="Microsoft YaHei" w:hAnsi="Microsoft YaHei" w:eastAsia="Microsoft YaHei"/>
                <w:color w:val="1F2933"/>
                <w:sz w:val="19"/>
              </w:rPr>
              <w:t>迁移映射、特征、20 批验收、RMSE、统计、箱线图、消融、弱标签</w:t>
            </w:r>
          </w:p>
        </w:tc>
      </w:tr>
      <w:tr>
        <w:tc>
          <w:tcPr>
            <w:tcW w:type="dxa" w:w="1100"/>
            <w:tcMar>
              <w:top w:w="80" w:type="dxa"/>
              <w:start w:w="120" w:type="dxa"/>
              <w:bottom w:w="80" w:type="dxa"/>
              <w:end w:w="120" w:type="dxa"/>
            </w:tcMar>
            <w:vAlign w:val="center"/>
          </w:tcPr>
          <w:p>
            <w:r>
              <w:rPr>
                <w:rFonts w:ascii="Microsoft YaHei" w:hAnsi="Microsoft YaHei" w:eastAsia="Microsoft YaHei"/>
                <w:color w:val="1F2933"/>
                <w:sz w:val="19"/>
              </w:rPr>
              <w:t>36–40</w:t>
            </w:r>
          </w:p>
        </w:tc>
        <w:tc>
          <w:tcPr>
            <w:tcW w:type="dxa" w:w="2100"/>
            <w:tcMar>
              <w:top w:w="80" w:type="dxa"/>
              <w:start w:w="120" w:type="dxa"/>
              <w:bottom w:w="80" w:type="dxa"/>
              <w:end w:w="120" w:type="dxa"/>
            </w:tcMar>
            <w:vAlign w:val="center"/>
          </w:tcPr>
          <w:p>
            <w:r>
              <w:rPr>
                <w:rFonts w:ascii="Microsoft YaHei" w:hAnsi="Microsoft YaHei" w:eastAsia="Microsoft YaHei"/>
                <w:color w:val="1F2933"/>
                <w:sz w:val="19"/>
              </w:rPr>
              <w:t>局限与讨论</w:t>
            </w:r>
          </w:p>
        </w:tc>
        <w:tc>
          <w:tcPr>
            <w:tcW w:type="dxa" w:w="6160"/>
            <w:tcMar>
              <w:top w:w="80" w:type="dxa"/>
              <w:start w:w="120" w:type="dxa"/>
              <w:bottom w:w="80" w:type="dxa"/>
              <w:end w:w="120" w:type="dxa"/>
            </w:tcMar>
            <w:vAlign w:val="center"/>
          </w:tcPr>
          <w:p>
            <w:r>
              <w:rPr>
                <w:rFonts w:ascii="Microsoft YaHei" w:hAnsi="Microsoft YaHei" w:eastAsia="Microsoft YaHei"/>
                <w:color w:val="1F2933"/>
                <w:sz w:val="19"/>
              </w:rPr>
              <w:t>θ 解释、框架局限、实际路线、下一阶段问题、三句话收束</w:t>
            </w:r>
          </w:p>
        </w:tc>
      </w:tr>
    </w:tbl>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完整 PPT 的页面顺序、20 批统计报告、v3 机制消融报告、Section IV 复现协议。</w:t>
      </w:r>
    </w:p>
    <w:p>
      <w:pPr>
        <w:pStyle w:val="Heading1"/>
      </w:pPr>
      <w:r>
        <w:t>三、逐页讲解说明</w:t>
      </w:r>
    </w:p>
    <w:p>
      <w:pPr>
        <w:pStyle w:val="Heading2"/>
        <w:keepNext/>
      </w:pPr>
      <w:r>
        <w:rPr>
          <w:rFonts w:ascii="Microsoft YaHei" w:hAnsi="Microsoft YaHei" w:eastAsia="Microsoft YaHei"/>
          <w:b/>
          <w:color w:val="2E74B5"/>
          <w:sz w:val="26"/>
        </w:rPr>
        <w:t>第 1 页：PWL 论文复现与 COMSOL 热传导迁移</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开场页，告诉听众本次汇报围绕论文复现、COMSOL 迁移和证据边界展开。</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页面只保留标题、汇报性质和日期。讲解时直接说明：这不是产品介绍，而是一次研究过程和结果复盘。</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先用一句话说明本页要回答的问题（开场页，告诉听众本次汇报围绕论文复现、COMSOL 迁移和证据边界展开。），再按页面中的公式、图表或分栏顺序解释证据，最后落到本页的必要提醒。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当前汇报基于论文公开内容、项目复现代码与 COMSOL 迁移报告。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不要在开场页提前堆叠算法细节。</w:t>
      </w:r>
    </w:p>
    <w:p>
      <w:pPr>
        <w:pStyle w:val="Heading2"/>
        <w:keepNext/>
      </w:pPr>
      <w:r>
        <w:rPr>
          <w:rFonts w:ascii="Microsoft YaHei" w:hAnsi="Microsoft YaHei" w:eastAsia="Microsoft YaHei"/>
          <w:b/>
          <w:color w:val="2E74B5"/>
          <w:sz w:val="26"/>
        </w:rPr>
        <w:t>第 2 页：研究问题：少量真实标签如何纠正物理弱标签</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建立组会讨论的问题：物理弱标签便宜但有系统误差，真实标签昂贵但能纠偏，过程变量还可能带来额外偏差。</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按三类信息解释三个色块，再强调本项目要验证的是复现协议和迁移后机制是否仍然有效。</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建立组会讨论的问题：物理弱标签便宜但有系统误差，真实标签昂贵但能纠偏，过程变量还可能带来额外偏差。），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论文问题设定；docs/PROJECT_OVERVIEW.md。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不要把问题讲成“做一个通用预测产品”。</w:t>
      </w:r>
    </w:p>
    <w:p>
      <w:pPr>
        <w:pStyle w:val="Heading2"/>
        <w:keepNext/>
      </w:pPr>
      <w:r>
        <w:rPr>
          <w:rFonts w:ascii="Microsoft YaHei" w:hAnsi="Microsoft YaHei" w:eastAsia="Microsoft YaHei"/>
          <w:b/>
          <w:color w:val="2E74B5"/>
          <w:sz w:val="26"/>
        </w:rPr>
        <w:t>第 3 页：PWL 的核心：物理项 + 差异项</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给出 PWL 的核心数学结构：ŷ = H(x_ph,θ)g + B(x_pr,x_ph)d。</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先解释 H g 保留物理规律，B d 描述差异补偿，θ 是校准参数；再说明 H、B 不是两个独立模型，而是同一预测式中的两个信息来源。</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先用一句话说明本页要回答的问题（给出 PWL 的核心数学结构：ŷ = H(x_ph,θ)g + B(x_pr,x_ph)d。），再按页面中的公式、图表或分栏顺序解释证据，最后落到本页的必要提醒。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阶段性总结_PWL算法实现框架.md；论文公式结构。</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公式是汇报主线，不需要在此页讲完整优化推导。</w:t>
      </w:r>
    </w:p>
    <w:p>
      <w:pPr>
        <w:pStyle w:val="Heading2"/>
        <w:keepNext/>
      </w:pPr>
      <w:r>
        <w:rPr>
          <w:rFonts w:ascii="Microsoft YaHei" w:hAnsi="Microsoft YaHei" w:eastAsia="Microsoft YaHei"/>
          <w:b/>
          <w:color w:val="2E74B5"/>
          <w:sz w:val="26"/>
        </w:rPr>
        <w:t>第 4 页：实现层面：g、d、θ 分开更新</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说明论文公式落到代码后，实际还要处理特征、尺度、近奇异、停止条件和日志。</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把四个更新块按输入、g、d、θ 顺序讲清楚；最后强调每轮记录 objective、参数和 ADMM 残差，用于定位复现偏差。</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先用一句话说明本页要回答的问题（说明论文公式落到代码后，实际还要处理特征、尺度、近奇异、停止条件和日志。），再按页面中的公式、图表或分栏顺序解释证据，最后落到本页的必要提醒。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reproduction/src/pwl_repro/core/model.py；optimization.py。</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这页讲实现过程，不宣称新的算法贡献。</w:t>
      </w:r>
    </w:p>
    <w:p>
      <w:pPr>
        <w:pStyle w:val="Heading2"/>
        <w:keepNext/>
      </w:pPr>
      <w:r>
        <w:rPr>
          <w:rFonts w:ascii="Microsoft YaHei" w:hAnsi="Microsoft YaHei" w:eastAsia="Microsoft YaHei"/>
          <w:b/>
          <w:color w:val="2E74B5"/>
          <w:sz w:val="26"/>
        </w:rPr>
        <w:t>第 5 页：原论文结果图：标签量增加时，PWL 的 RMSE 如何变化</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把原论文 Fig.2 和 Table I 作为复现起点，让听众先看到论文原始证据。</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先指出横轴是不同标签量/场景，再说明表格中的 RMSE、MSE、MAE 是论文原始口径；随后转到项目如何按协议复现。</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先用一句话说明本页要回答的问题（把原论文 Fig.2 和 Table I 作为复现起点，让听众先看到论文原始证据。），再按页面中的公式、图表或分栏顺序解释证据，最后落到本页的必要提醒。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原论文 PDF 第 9 页；原始 Fig.2、Table I。</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原论文图不是 COMSOL 数据，不能与迁移结果直接混算。</w:t>
      </w:r>
    </w:p>
    <w:p>
      <w:pPr>
        <w:pStyle w:val="Heading2"/>
        <w:keepNext/>
      </w:pPr>
      <w:r>
        <w:rPr>
          <w:rFonts w:ascii="Microsoft YaHei" w:hAnsi="Microsoft YaHei" w:eastAsia="Microsoft YaHei"/>
          <w:b/>
          <w:color w:val="2E74B5"/>
          <w:sz w:val="26"/>
        </w:rPr>
        <w:t>第 6 页：复现边界：哪些是论文内容，哪些是工程补充</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明确区分论文直接给出的结构和项目为可运行复现补齐的细节。</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左侧讲模型、弱监督、Section IV、BCD–ADMM；右侧讲协方差、B 列空间、近奇异处理、重复与统计。</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先用一句话说明本页要回答的问题（明确区分论文直接给出的结构和项目为可运行复现补齐的细节。），再按页面中的公式、图表或分栏顺序解释证据，最后落到本页的必要提醒。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reproduction/REPRODUCTION.md；SECTION_IV_PROTOCOL.md。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最重要的口径：结构复现不等于论文绝对数值完全一致。</w:t>
      </w:r>
    </w:p>
    <w:p>
      <w:pPr>
        <w:pStyle w:val="Heading2"/>
        <w:keepNext/>
      </w:pPr>
      <w:r>
        <w:rPr>
          <w:rFonts w:ascii="Microsoft YaHei" w:hAnsi="Microsoft YaHei" w:eastAsia="Microsoft YaHei"/>
          <w:b/>
          <w:color w:val="2E74B5"/>
          <w:sz w:val="26"/>
        </w:rPr>
        <w:t>第 7 页：论文 Section IV：复现实验协议</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概览 IV-A、IV-B、IV-C 三组实验及其研究问题。</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依次说明标签量、物理模型精度、标签节省；强调输出不仅有 RMSE，也有 predictions、conditions 和 statistical_tests。</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先用一句话说明本页要回答的问题（概览 IV-A、IV-B、IV-C 三组实验及其研究问题。），再按页面中的公式、图表或分栏顺序解释证据，最后落到本页的必要提醒。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先讲协议，再讲结果，避免把图表当成孤立数字。</w:t>
      </w:r>
    </w:p>
    <w:p>
      <w:pPr>
        <w:pStyle w:val="Heading2"/>
        <w:keepNext/>
      </w:pPr>
      <w:r>
        <w:rPr>
          <w:rFonts w:ascii="Microsoft YaHei" w:hAnsi="Microsoft YaHei" w:eastAsia="Microsoft YaHei"/>
          <w:b/>
          <w:color w:val="2E74B5"/>
          <w:sz w:val="26"/>
        </w:rPr>
        <w:t>第 8 页：学术补充：为什么把完整方程写成基函数组合</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用概念图回答听众对“为什么不直接使用代数方程”的疑问。</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先承认完整公式当然可以直接算；再解释基函数组合提供逐项观察、加权、筛选、正则化和差异补偿的接口。</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先用一句话说明本页要回答的问题（用概念图回答听众对“为什么不直接使用代数方程”的疑问。），再按页面中的公式、图表或分栏顺序解释证据，最后落到本页的必要提醒。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解释性内容---附件.md；论文公式 (3)–(5) 的方法结构。</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基函数拆分不是把物理规律改错，而是把模型变成可校正接口。</w:t>
      </w:r>
    </w:p>
    <w:p>
      <w:pPr>
        <w:pStyle w:val="Heading2"/>
        <w:keepNext/>
      </w:pPr>
      <w:r>
        <w:rPr>
          <w:rFonts w:ascii="Microsoft YaHei" w:hAnsi="Microsoft YaHei" w:eastAsia="Microsoft YaHei"/>
          <w:b/>
          <w:color w:val="2E74B5"/>
          <w:sz w:val="26"/>
        </w:rPr>
        <w:t>第 9 页：迁移到 COMSOL：重写物理输入，不重写求解器</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把抽象 PWL 角色映射到热传导场景。</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指出 COMSOL 输入进入 x_ph/x_pr，H/B 重新实例化，求解器仍保持同一联合训练接口；θ 只按校准/扰动参数解释。</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先用一句话说明本页要回答的问题（把抽象 PWL 角色映射到热传导场景。），再按页面中的公式、图表或分栏顺序解释证据，最后落到本页的必要提醒。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migration/src/pwl_migration/heat.py；heat_v3_qint_min.yaml。</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示意图只帮助理解热流—温度—观测关系，不代表具体网格。</w:t>
      </w:r>
    </w:p>
    <w:p>
      <w:pPr>
        <w:pStyle w:val="Heading2"/>
        <w:keepNext/>
      </w:pPr>
      <w:r>
        <w:rPr>
          <w:rFonts w:ascii="Microsoft YaHei" w:hAnsi="Microsoft YaHei" w:eastAsia="Microsoft YaHei"/>
          <w:b/>
          <w:color w:val="2E74B5"/>
          <w:sz w:val="26"/>
        </w:rPr>
        <w:t>第 10 页：迁移趋势图：标签量增加时，PWL 保持较低 RMSE</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展示迁移曲线的趋势，不在本页混淆 10 批和 20 批统计口径。</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看红色 PWL 曲线随标签量下降的整体趋势；精确的 20 批数值和显著性放到后续专页。</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先用一句话说明本页要回答的问题（展示迁移曲线的趋势，不在本页混淆 10 批和 20 批统计口径。），再按页面中的公式、图表或分栏顺序解释证据，最后落到本页的必要提醒。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迁移结果图；20 批闭环数据详见后续页面。</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不要用本页趋势图单独宣称统计显著。</w:t>
      </w:r>
    </w:p>
    <w:p>
      <w:pPr>
        <w:pStyle w:val="Heading2"/>
        <w:keepNext/>
      </w:pPr>
      <w:r>
        <w:rPr>
          <w:rFonts w:ascii="Microsoft YaHei" w:hAnsi="Microsoft YaHei" w:eastAsia="Microsoft YaHei"/>
          <w:b/>
          <w:color w:val="2E74B5"/>
          <w:sz w:val="26"/>
        </w:rPr>
        <w:t>第 11 页：10 批基线的分布与机制消融</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保留 10 批基线的箱线图和机制消融结果，作为 v3 机制收敛后的起点。</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说明去弱标签、去差异项、去 q_int 后的变化；重点是机制分工，而不是把 10 批结果当成最终统计闭环。</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先用一句话说明本页要回答的问题（保留 10 批基线的箱线图和机制消融结果，作为 v3 机制收敛后的起点。），再按页面中的公式、图表或分栏顺序解释证据，最后落到本页的必要提醒。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migration/results/heat_v3_qint_min；COMSOL 场景 v3 机制消融报告。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最终跨批次结论以 20 批专页为准。</w:t>
      </w:r>
    </w:p>
    <w:p>
      <w:pPr>
        <w:pStyle w:val="Heading2"/>
        <w:keepNext/>
      </w:pPr>
      <w:r>
        <w:rPr>
          <w:rFonts w:ascii="Microsoft YaHei" w:hAnsi="Microsoft YaHei" w:eastAsia="Microsoft YaHei"/>
          <w:b/>
          <w:color w:val="2E74B5"/>
          <w:sz w:val="26"/>
        </w:rPr>
        <w:t>第 12 页：结论与局限</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完成原 12 页主线的第一次收束。</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给出三条暂时可支持的结论：结构复现、迁移均值趋势、机制分工；同时提醒 H/B、θ、外推和真实实验数据的局限。</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先用一句话说明本页要回答的问题（完成原 12 页主线的第一次收束。），再按页面中的公式、图表或分栏顺序解释证据，最后落到本页的必要提醒。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阶段总结与迁移报告。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后续扩展页会把这些结论拆开提供证据。</w:t>
      </w:r>
    </w:p>
    <w:p>
      <w:pPr>
        <w:spacing w:before="80" w:after="80"/>
        <w:shd w:fill="F2F4F7"/>
      </w:pPr>
      <w:r>
        <w:rPr>
          <w:rFonts w:ascii="Microsoft YaHei" w:hAnsi="Microsoft YaHei" w:eastAsia="Microsoft YaHei"/>
          <w:i/>
          <w:color w:val="5B6573"/>
          <w:sz w:val="18"/>
        </w:rPr>
        <w:t>模块分隔：下一页进入新的证据层。</w:t>
      </w:r>
    </w:p>
    <w:p>
      <w:pPr>
        <w:pStyle w:val="Heading2"/>
        <w:keepNext/>
      </w:pPr>
      <w:r>
        <w:rPr>
          <w:rFonts w:ascii="Microsoft YaHei" w:hAnsi="Microsoft YaHei" w:eastAsia="Microsoft YaHei"/>
          <w:b/>
          <w:color w:val="2E74B5"/>
          <w:sz w:val="26"/>
        </w:rPr>
        <w:t>第 13 页：完整实现不是一张公式，而是一条可审计链路</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告诉听众后半段为什么要继续展开：算法完整性来自输入、特征、训练、协议和统计的连接。</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按四步讲路线图：物理输入、特征注册、联合训练、实验协议。每一步都对应后续页面。</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先用一句话说明本页要回答的问题（告诉听众后半段为什么要继续展开：算法完整性来自输入、特征、训练、协议和统计的连接。），再按页面中的公式、图表或分栏顺序解释证据，最后落到本页的必要提醒。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阶段性总结_PWL算法实现框架.md；docs/ARCHITECTURE.md。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把它当作导航页，不要停留在软件工程名词。</w:t>
      </w:r>
    </w:p>
    <w:p>
      <w:pPr>
        <w:pStyle w:val="Heading2"/>
        <w:keepNext/>
      </w:pPr>
      <w:r>
        <w:rPr>
          <w:rFonts w:ascii="Microsoft YaHei" w:hAnsi="Microsoft YaHei" w:eastAsia="Microsoft YaHei"/>
          <w:b/>
          <w:color w:val="2E74B5"/>
          <w:sz w:val="26"/>
        </w:rPr>
        <w:t>第 14 页：项目代码按“内核—场景—实验—报告”分层</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把代码结构和复现责任对应起来。</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算法内核和特征层相对可复用；场景层必须重做；实验和报告层负责可追溯性。</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先用一句话说明本页要回答的问题（把代码结构和复现责任对应起来。），再按页面中的公式、图表或分栏顺序解释证据，最后落到本页的必要提醒。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docs/ARCHITECTURE.md。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强调求解器可复用，但 H/B 和 θ 不能跨场景照搬。</w:t>
      </w:r>
    </w:p>
    <w:p>
      <w:pPr>
        <w:pStyle w:val="Heading2"/>
        <w:keepNext/>
      </w:pPr>
      <w:r>
        <w:rPr>
          <w:rFonts w:ascii="Microsoft YaHei" w:hAnsi="Microsoft YaHei" w:eastAsia="Microsoft YaHei"/>
          <w:b/>
          <w:color w:val="2E74B5"/>
          <w:sz w:val="26"/>
        </w:rPr>
        <w:t>第 15 页：H 与 B 不是两个黑箱，而是两套可检查的基函数矩阵</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具体解释 H、B 分支各自承载的变化模式。</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H 负责低成本物理模型提供的趋势，B 负责低保真与真实过程的差异；拆分后可以分组、正则化和消融。</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先用一句话说明本页要回答的问题（具体解释 H、B 分支各自承载的变化模式。），再按页面中的公式、图表或分栏顺序解释证据，最后落到本页的必要提醒。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阶段性总结_PWL算法实现框架.md；解释性内容---附件.md。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听众如果不了解基函数，可以把它理解为“可复用的基本变化模式”。</w:t>
      </w:r>
    </w:p>
    <w:p>
      <w:pPr>
        <w:pStyle w:val="Heading2"/>
        <w:keepNext/>
      </w:pPr>
      <w:r>
        <w:rPr>
          <w:rFonts w:ascii="Microsoft YaHei" w:hAnsi="Microsoft YaHei" w:eastAsia="Microsoft YaHei"/>
          <w:b/>
          <w:color w:val="2E74B5"/>
          <w:sz w:val="26"/>
        </w:rPr>
        <w:t>第 16 页：“完整代数方程”当然能用，但它不一定是好的学习接口</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正面回答“为什么不直接用完整公式”。</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用三列对照：完整公式适合直接计算；基函数组合提供逐项接口；PWL 进一步把物理规律和差异补偿分开。</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先用一句话说明本页要回答的问题（正面回答“为什么不直接用完整公式”。），再按页面中的公式、图表或分栏顺序解释证据，最后落到本页的必要提醒。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解释性内容---附件.md；论文方法结构。</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重点不是否定完整公式，而是说明当前研究需要可学习、可校正的结构。</w:t>
      </w:r>
    </w:p>
    <w:p>
      <w:pPr>
        <w:pStyle w:val="Heading2"/>
        <w:keepNext/>
      </w:pPr>
      <w:r>
        <w:rPr>
          <w:rFonts w:ascii="Microsoft YaHei" w:hAnsi="Microsoft YaHei" w:eastAsia="Microsoft YaHei"/>
          <w:b/>
          <w:color w:val="2E74B5"/>
          <w:sz w:val="26"/>
        </w:rPr>
        <w:t>第 17 页：基函数设计的四个工程约束比“项越多越好”更重要</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把基函数设计从“写公式”提升到可识别性和迁移性问题。</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逐项讲含义、尺度、识别、迁移四个约束，并对应到 FeatureSpec、标准化、正交化/残差化和跨批诊断。</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先用一句话说明本页要回答的问题（把基函数设计从“写公式”提升到可识别性和迁移性问题。），再按页面中的公式、图表或分栏顺序解释证据，最后落到本页的必要提醒。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FeatureSpec 实现；阶段性总结。</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基函数数量越多不一定越好，过多会带来共线性和过拟合。</w:t>
      </w:r>
    </w:p>
    <w:p>
      <w:pPr>
        <w:pStyle w:val="Heading2"/>
        <w:keepNext/>
      </w:pPr>
      <w:r>
        <w:rPr>
          <w:rFonts w:ascii="Microsoft YaHei" w:hAnsi="Microsoft YaHei" w:eastAsia="Microsoft YaHei"/>
          <w:b/>
          <w:color w:val="2E74B5"/>
          <w:sz w:val="26"/>
        </w:rPr>
        <w:t>第 18 页：在热传导场景中，H 有 11 列但有效秩约为 7</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用线性代数证据解释“名义列数不等于独立信息量”。</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说明 SVD/条件数可以发现重复方向；在当前场景里 θ 与总热阻耦合，因此不能直接解释成真实材料常数。</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先用一句话说明本页要回答的问题（用线性代数证据解释“名义列数不等于独立信息量”。），再按页面中的公式、图表或分栏顺序解释证据，最后落到本页的必要提醒。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PWL当前必须项目与实施方案.md；theta 判据修订报告。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这是基函数设计和参数解释的关键局限。</w:t>
      </w:r>
    </w:p>
    <w:p>
      <w:pPr>
        <w:pStyle w:val="Heading2"/>
        <w:keepNext/>
      </w:pPr>
      <w:r>
        <w:rPr>
          <w:rFonts w:ascii="Microsoft YaHei" w:hAnsi="Microsoft YaHei" w:eastAsia="Microsoft YaHei"/>
          <w:b/>
          <w:color w:val="2E74B5"/>
          <w:sz w:val="26"/>
        </w:rPr>
        <w:t>第 19 页：目标函数把三类信息放在同一个可计算对象中</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解释监督误差、物理弱监督和正则项的分工。</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读公式时依次对应真实标签、物理弱标签、L1 差异稀疏、组正则/参数约束。</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先用一句话说明本页要回答的问题（解释监督误差、物理弱监督和正则项的分工。），再按页面中的公式、图表或分栏顺序解释证据，最后落到本页的必要提醒。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阶段性总结；reproduction/src/pwl_repro/core/model.py。</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这页解释的是现有实现，不是增加一个新的目标函数。</w:t>
      </w:r>
    </w:p>
    <w:p>
      <w:pPr>
        <w:pStyle w:val="Heading2"/>
        <w:keepNext/>
      </w:pPr>
      <w:r>
        <w:rPr>
          <w:rFonts w:ascii="Microsoft YaHei" w:hAnsi="Microsoft YaHei" w:eastAsia="Microsoft YaHei"/>
          <w:b/>
          <w:color w:val="2E74B5"/>
          <w:sz w:val="26"/>
        </w:rPr>
        <w:t>第 20 页：BCD–ADMM 的一轮更新可以被拆成三个可检查动作</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把求解器从“黑盒优化器”变成可检查流程。</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g、d、θ 三块交替，每块有自己的固定变量和更新对象；循环末尾检查目标值、参数变化和 ADMM 原始/对偶残差。</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先用一句话说明本页要回答的问题（把求解器从“黑盒优化器”变成可检查流程。），再按页面中的公式、图表或分栏顺序解释证据，最后落到本页的必要提醒。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model.py；optimization.py。</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复现失败时可以定位到特征、近端算子、ADMM 收敛还是选参。</w:t>
      </w:r>
    </w:p>
    <w:p>
      <w:pPr>
        <w:pStyle w:val="Heading2"/>
        <w:keepNext/>
      </w:pPr>
      <w:r>
        <w:rPr>
          <w:rFonts w:ascii="Microsoft YaHei" w:hAnsi="Microsoft YaHei" w:eastAsia="Microsoft YaHei"/>
          <w:b/>
          <w:color w:val="2E74B5"/>
          <w:sz w:val="26"/>
        </w:rPr>
        <w:t>第 21 页：复现中最容易被忽略的，是公式之外的数值稳定性</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展示复现补全的必要性。</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输入尺度、近极点拒绝、矩阵条件数、联合停止条件和无效候选率都会影响是否真的收敛和是否能重复运行。</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先用一句话说明本页要回答的问题（展示复现补全的必要性。），再按页面中的公式、图表或分栏顺序解释证据，最后落到本页的必要提醒。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这些是工程实现细节，但直接决定复现是否可信。</w:t>
      </w:r>
    </w:p>
    <w:p>
      <w:pPr>
        <w:spacing w:before="80" w:after="80"/>
        <w:shd w:fill="F2F4F7"/>
      </w:pPr>
      <w:r>
        <w:rPr>
          <w:rFonts w:ascii="Microsoft YaHei" w:hAnsi="Microsoft YaHei" w:eastAsia="Microsoft YaHei"/>
          <w:i/>
          <w:color w:val="5B6573"/>
          <w:sz w:val="18"/>
        </w:rPr>
        <w:t>模块分隔：下一页进入新的证据层。</w:t>
      </w:r>
    </w:p>
    <w:p>
      <w:pPr>
        <w:pStyle w:val="Heading2"/>
        <w:keepNext/>
      </w:pPr>
      <w:r>
        <w:rPr>
          <w:rFonts w:ascii="Microsoft YaHei" w:hAnsi="Microsoft YaHei" w:eastAsia="Microsoft YaHei"/>
          <w:b/>
          <w:color w:val="2E74B5"/>
          <w:sz w:val="26"/>
        </w:rPr>
        <w:t>第 22 页：复现协议先固定“公共数据”，再比较模型</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说明共享标签池、物理弱标签、独立测试集和 20 次重复。</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先讲论文公开的输入与 SNR，再讲项目补全的协方差、噪声、B 维度和停止条件。</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先用一句话说明本页要回答的问题（说明共享标签池、物理弱标签、独立测试集和 20 次重复。），再按页面中的公式、图表或分栏顺序解释证据，最后落到本页的必要提醒。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公共数据是公平比较的前提。</w:t>
      </w:r>
    </w:p>
    <w:p>
      <w:pPr>
        <w:pStyle w:val="Heading2"/>
        <w:keepNext/>
      </w:pPr>
      <w:r>
        <w:rPr>
          <w:rFonts w:ascii="Microsoft YaHei" w:hAnsi="Microsoft YaHei" w:eastAsia="Microsoft YaHei"/>
          <w:b/>
          <w:color w:val="2E74B5"/>
          <w:sz w:val="26"/>
        </w:rPr>
        <w:t>第 23 页：IV-A 用嵌套标签池回答“标签越多，谁受益”</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给出 IV-A 的完整实验口径。</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标签量从 10 到 120，100 个物理样本，200 个共享测试样本，70/30 划分，20 次重复，配对单侧 t 检验并做 Holm 校正。</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先用一句话说明本页要回答的问题（给出 IV-A 的完整实验口径。），再按页面中的公式、图表或分栏顺序解释证据，最后落到本页的必要提醒。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不同模型在同一测试样本上配对比较。</w:t>
      </w:r>
    </w:p>
    <w:p>
      <w:pPr>
        <w:pStyle w:val="Heading2"/>
        <w:keepNext/>
      </w:pPr>
      <w:r>
        <w:rPr>
          <w:rFonts w:ascii="Microsoft YaHei" w:hAnsi="Microsoft YaHei" w:eastAsia="Microsoft YaHei"/>
          <w:b/>
          <w:color w:val="2E74B5"/>
          <w:sz w:val="26"/>
        </w:rPr>
        <w:t>第 24 页：IV-B 改变物理模型精度，但不改变测试条件</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解释 0.85/0.70/0.50 三档物理相关性。</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独立校准池控制差异幅度，不使用正式标签；每次重复共享同一批数据，只改变 η 与真实过程的差异幅度。</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先用一句话说明本页要回答的问题（解释 0.85/0.70/0.50 三档物理相关性。），再按页面中的公式、图表或分栏顺序解释证据，最后落到本页的必要提醒。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这样才能把物理信息质量与随机性分开。</w:t>
      </w:r>
    </w:p>
    <w:p>
      <w:pPr>
        <w:pStyle w:val="Heading2"/>
        <w:keepNext/>
      </w:pPr>
      <w:r>
        <w:rPr>
          <w:rFonts w:ascii="Microsoft YaHei" w:hAnsi="Microsoft YaHei" w:eastAsia="Microsoft YaHei"/>
          <w:b/>
          <w:color w:val="2E74B5"/>
          <w:sz w:val="26"/>
        </w:rPr>
        <w:t>第 25 页：IV-C 不是重新训练一个“固定标签量”的 PWL 曲线</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澄清标签节省实验的定义。</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PWL 固定 30 个标签和 100 个物理样本，监督模型从 30 到 110 个标签逐步比较；“未显著不同”不等于“统计等效”。</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先用一句话说明本页要回答的问题（澄清标签节省实验的定义。），再按页面中的公式、图表或分栏顺序解释证据，最后落到本页的必要提醒。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不能仅凭曲线交叉直接说节省了多少标签。</w:t>
      </w:r>
    </w:p>
    <w:p>
      <w:pPr>
        <w:pStyle w:val="Heading2"/>
        <w:keepNext/>
      </w:pPr>
      <w:r>
        <w:rPr>
          <w:rFonts w:ascii="Microsoft YaHei" w:hAnsi="Microsoft YaHei" w:eastAsia="Microsoft YaHei"/>
          <w:b/>
          <w:color w:val="2E74B5"/>
          <w:sz w:val="26"/>
        </w:rPr>
        <w:t>第 26 页：复现输出不是一张图，而是一组可追溯制品</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说明配置、条件、预测、汇总和统计文件之间的关系。</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把 metadata、conditions、results/summary、predictions、statistical_tests、quality_checks 按数据流讲清楚。</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先用一句话说明本页要回答的问题（说明配置、条件、预测、汇总和统计文件之间的关系。），再按页面中的公式、图表或分栏顺序解释证据，最后落到本页的必要提醒。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reproduction/SECTION_IV_PROTOCOL.md。</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“能跑出 RMSE”只是复现的起点。</w:t>
      </w:r>
    </w:p>
    <w:p>
      <w:pPr>
        <w:spacing w:before="80" w:after="80"/>
        <w:shd w:fill="F2F4F7"/>
      </w:pPr>
      <w:r>
        <w:rPr>
          <w:rFonts w:ascii="Microsoft YaHei" w:hAnsi="Microsoft YaHei" w:eastAsia="Microsoft YaHei"/>
          <w:i/>
          <w:color w:val="5B6573"/>
          <w:sz w:val="18"/>
        </w:rPr>
        <w:t>模块分隔：下一页进入新的证据层。</w:t>
      </w:r>
    </w:p>
    <w:p>
      <w:pPr>
        <w:pStyle w:val="Heading2"/>
        <w:keepNext/>
      </w:pPr>
      <w:r>
        <w:rPr>
          <w:rFonts w:ascii="Microsoft YaHei" w:hAnsi="Microsoft YaHei" w:eastAsia="Microsoft YaHei"/>
          <w:b/>
          <w:color w:val="2E74B5"/>
          <w:sz w:val="26"/>
        </w:rPr>
        <w:t>第 27 页：迁移到 COMSOL 后，变化的是物理输入，不是求解器骨架</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概括论文仿真到热传导的迁移方式。</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场景层改变 x_ph/x_pr、H/B 和 θ 的实例化；联合训练接口、日志和统计流程继续复用。</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先用一句话说明本页要回答的问题（概括论文仿真到热传导的迁移方式。），再按页面中的公式、图表或分栏顺序解释证据，最后落到本页的必要提醒。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migration/src/pwl_migration/heat.py；阶段性总结。</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迁移不是把论文数值直接搬过去。</w:t>
      </w:r>
    </w:p>
    <w:p>
      <w:pPr>
        <w:pStyle w:val="Heading2"/>
        <w:keepNext/>
      </w:pPr>
      <w:r>
        <w:rPr>
          <w:rFonts w:ascii="Microsoft YaHei" w:hAnsi="Microsoft YaHei" w:eastAsia="Microsoft YaHei"/>
          <w:b/>
          <w:color w:val="2E74B5"/>
          <w:sz w:val="26"/>
        </w:rPr>
        <w:t>第 28 页：COMSOL 热传导中的变量角色必须先讲清楚</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用热传导示意图和角色映射表帮助非本方向听众理解。</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逐行解释 x_ph、x_pr、H、B、θ、y；特别强调 θ 是预测校准参数，不自动等同于材料热导率。</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先用一句话说明本页要回答的问题（用热传导示意图和角色映射表帮助非本方向听众理解。），再按页面中的公式、图表或分栏顺序解释证据，最后落到本页的必要提醒。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migration 代码、heat_v3_qint_min_b20.yaml、热传导概念图。</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概念图不是 COMSOL 网格或真实测温结果。</w:t>
      </w:r>
    </w:p>
    <w:p>
      <w:pPr>
        <w:pStyle w:val="Heading2"/>
        <w:keepNext/>
      </w:pPr>
      <w:r>
        <w:rPr>
          <w:rFonts w:ascii="Microsoft YaHei" w:hAnsi="Microsoft YaHei" w:eastAsia="Microsoft YaHei"/>
          <w:b/>
          <w:color w:val="2E74B5"/>
          <w:sz w:val="26"/>
        </w:rPr>
        <w:t>第 29 页：迁移后的场景特征包括两列关键机理项</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说明 q_int 相关特征为什么被单独拿出来验证。</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低保真输入提供主趋势，q_int 两列作为场景化机理项，B 负责差异补偿；是否有用由消融结果决定。</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先用一句话说明本页要回答的问题（说明 q_int 相关特征为什么被单独拿出来验证。），再按页面中的公式、图表或分栏顺序解释证据，最后落到本页的必要提醒。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heat_v3_qint_min_b20.yaml；v3 机制消融报告。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不要把 q_int 说成论文原文规定的通用基函数。</w:t>
      </w:r>
    </w:p>
    <w:p>
      <w:pPr>
        <w:pStyle w:val="Heading2"/>
        <w:keepNext/>
      </w:pPr>
      <w:r>
        <w:rPr>
          <w:rFonts w:ascii="Microsoft YaHei" w:hAnsi="Microsoft YaHei" w:eastAsia="Microsoft YaHei"/>
          <w:b/>
          <w:color w:val="2E74B5"/>
          <w:sz w:val="26"/>
        </w:rPr>
        <w:t>第 30 页：20 批扩展先证明数据链路连续，再讨论模型优势</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把数据验收、前 10 批一致性、噪声尺度和收敛率展示出来。</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20/20 验收通过；前 10 批与基线最大差 1e−13；σ=4.494 K；收敛率 1.0；无效候选率 0.2475，贴近门槛。</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先用一句话说明本页要回答的问题（把数据验收、前 10 批一致性、噪声尺度和收敛率展示出来。），再按页面中的公式、图表或分栏顺序解释证据，最后落到本页的必要提醒。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COMSOL 场景 20 批统计闭环报告；acceptance_report.json。</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数据链路通过不等于模型优势已经显著。</w:t>
      </w:r>
    </w:p>
    <w:p>
      <w:pPr>
        <w:pStyle w:val="Heading2"/>
        <w:keepNext/>
      </w:pPr>
      <w:r>
        <w:rPr>
          <w:rFonts w:ascii="Microsoft YaHei" w:hAnsi="Microsoft YaHei" w:eastAsia="Microsoft YaHei"/>
          <w:b/>
          <w:color w:val="2E74B5"/>
          <w:sz w:val="26"/>
        </w:rPr>
        <w:t>第 31 页：20 批结果：PWL 在 12 个标签档的均值都更低</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展示真实 20 批 RMSE 曲线和关键数字。</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@10 PWL=7.678、Physics-GP=8.870；@120 PWL=5.351、Physics-GP=5.648；12/12 标签档均值最优。</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先用一句话说明本页要回答的问题（展示真实 20 批 RMSE 曲线和关键数字。），再按页面中的公式、图表或分栏顺序解释证据，最后落到本页的必要提醒。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migration/results/heat_v3_qint_min_b20/figure_iv_a_rmse.png；20 批报告。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误差条不能直接代替统计检验。</w:t>
      </w:r>
    </w:p>
    <w:p>
      <w:pPr>
        <w:pStyle w:val="Heading2"/>
        <w:keepNext/>
      </w:pPr>
      <w:r>
        <w:rPr>
          <w:rFonts w:ascii="Microsoft YaHei" w:hAnsi="Microsoft YaHei" w:eastAsia="Microsoft YaHei"/>
          <w:b/>
          <w:color w:val="2E74B5"/>
          <w:sz w:val="26"/>
        </w:rPr>
        <w:t>第 32 页：20 批结果的主结论是“均值优势趋势”，不是“校正后显著”</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把均值表和配对统计放在一起，防止只看排名。</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@120 均值差 −0.297 K，95% CI [−0.624, 0.030]，dz=−0.425，未校正单侧 p=0.0363，Holm p=0.0708。</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先用一句话说明本页要回答的问题（把均值表和配对统计放在一起，防止只看排名。），再按页面中的公式、图表或分栏顺序解释证据，最后落到本页的必要提醒。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20 批统计闭环报告；statistical_tests.csv。</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推荐口径：PWL 保持均值优势趋势，但尚无充分显著性证据。</w:t>
      </w:r>
    </w:p>
    <w:p>
      <w:pPr>
        <w:pStyle w:val="Heading2"/>
        <w:keepNext/>
      </w:pPr>
      <w:r>
        <w:rPr>
          <w:rFonts w:ascii="Microsoft YaHei" w:hAnsi="Microsoft YaHei" w:eastAsia="Microsoft YaHei"/>
          <w:b/>
          <w:color w:val="2E74B5"/>
          <w:sz w:val="26"/>
        </w:rPr>
        <w:t>第 33 页：箱线图显示：@120 的均值优势并非每个批次都普遍存在</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解释批次异质性和统计边界。</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@120 只有 10/20 批次 PWL 优于 Physics；@10 为 15/20；新增 11–20 批均值差 −0.431 K，大于前 10 批 −0.163 K。</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先用一句话说明本页要回答的问题（解释批次异质性和统计边界。），再按页面中的公式、图表或分栏顺序解释证据，最后落到本页的必要提醒。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20 批箱线图；20 批统计闭环报告。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方向可复现，但优势由部分批次拉开。</w:t>
      </w:r>
    </w:p>
    <w:p>
      <w:pPr>
        <w:pStyle w:val="Heading2"/>
        <w:keepNext/>
      </w:pPr>
      <w:r>
        <w:rPr>
          <w:rFonts w:ascii="Microsoft YaHei" w:hAnsi="Microsoft YaHei" w:eastAsia="Microsoft YaHei"/>
          <w:b/>
          <w:color w:val="2E74B5"/>
          <w:sz w:val="26"/>
        </w:rPr>
        <w:t>第 34 页：消融结果把“谁负责什么”拆开了</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用 A0–A4 消融验证机制分工。</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去弱标签使 @10 从 8.055 恶化到 10.355；去 B 使 @120 从 5.366 恶化到 8.047；去 q_int 使 @120 退回 5.548。</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先用一句话说明本页要回答的问题（用 A0–A4 消融验证机制分工。），再按页面中的公式、图表或分栏顺序解释证据，最后落到本页的必要提醒。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COMSOL 场景 v3 机制消融报告。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所有消融臂只改变一项语义配置，结论才有因果解释空间。</w:t>
      </w:r>
    </w:p>
    <w:p>
      <w:pPr>
        <w:pStyle w:val="Heading2"/>
        <w:keepNext/>
      </w:pPr>
      <w:r>
        <w:rPr>
          <w:rFonts w:ascii="Microsoft YaHei" w:hAnsi="Microsoft YaHei" w:eastAsia="Microsoft YaHei"/>
          <w:b/>
          <w:color w:val="2E74B5"/>
          <w:sz w:val="26"/>
        </w:rPr>
        <w:t>第 35 页：弱标签收益在 n_weak≈100 后基本饱和</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解释弱标签数量的边际收益。</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50→100 个弱标签时 @10 改善 0.45 K；100→200 只改善 0.06 K；@120 基本平坦。</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先用一句话说明本页要回答的问题（解释弱标签数量的边际收益。），再按页面中的公式、图表或分栏顺序解释证据，最后落到本页的必要提醒。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COMSOL 场景 v3 机制消融报告。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弱标签主要帮助小样本端，不代表更多弱标签一定提高大样本端。</w:t>
      </w:r>
    </w:p>
    <w:p>
      <w:pPr>
        <w:spacing w:before="80" w:after="80"/>
        <w:shd w:fill="F2F4F7"/>
      </w:pPr>
      <w:r>
        <w:rPr>
          <w:rFonts w:ascii="Microsoft YaHei" w:hAnsi="Microsoft YaHei" w:eastAsia="Microsoft YaHei"/>
          <w:i/>
          <w:color w:val="5B6573"/>
          <w:sz w:val="18"/>
        </w:rPr>
        <w:t>模块分隔：下一页进入新的证据层。</w:t>
      </w:r>
    </w:p>
    <w:p>
      <w:pPr>
        <w:pStyle w:val="Heading2"/>
        <w:keepNext/>
      </w:pPr>
      <w:r>
        <w:rPr>
          <w:rFonts w:ascii="Microsoft YaHei" w:hAnsi="Microsoft YaHei" w:eastAsia="Microsoft YaHei"/>
          <w:b/>
          <w:color w:val="2E74B5"/>
          <w:sz w:val="26"/>
        </w:rPr>
        <w:t>第 36 页：θ 的预测作用已经验证，但不能直接说它恢复了材料参数</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用“可以说 / 不能直接说 / 继续验证”澄清参数解释。</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当前数据更稳定地约束总热阻或预测效果；θ 受材料参数、接触热阻和边界条件共同影响。</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先用一句话说明本页要回答的问题（用“可以说 / 不能直接说 / 继续验证”澄清参数解释。），再按页面中的公式、图表或分栏顺序解释证据，最后落到本页的必要提醒。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theta 判据修订报告；PWL 当前必须项目与实施方案。</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按 M2 口径将 θ 作为 info 级指标报告。</w:t>
      </w:r>
    </w:p>
    <w:p>
      <w:pPr>
        <w:pStyle w:val="Heading2"/>
        <w:keepNext/>
      </w:pPr>
      <w:r>
        <w:rPr>
          <w:rFonts w:ascii="Microsoft YaHei" w:hAnsi="Microsoft YaHei" w:eastAsia="Microsoft YaHei"/>
          <w:b/>
          <w:color w:val="2E74B5"/>
          <w:sz w:val="26"/>
        </w:rPr>
        <w:t>第 37 页：当前框架的局限性，主要来自场景设计与证据边界</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把局限具体化为可操作的问题。</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H/B 依赖场景、有效秩不足、Holm p=0.0708、@120 仅 10/20 批方向一致、当前仍是 COMSOL 仿真迁移、基函数过多会共线。</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先用一句话说明本页要回答的问题（把局限具体化为可操作的问题。），再按页面中的公式、图表或分栏顺序解释证据，最后落到本页的必要提醒。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阶段性总结；20 批报告；theta 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当前成果应定位为可复用的场景建模与验证框架。</w:t>
      </w:r>
    </w:p>
    <w:p>
      <w:pPr>
        <w:pStyle w:val="Heading2"/>
        <w:keepNext/>
      </w:pPr>
      <w:r>
        <w:rPr>
          <w:rFonts w:ascii="Microsoft YaHei" w:hAnsi="Microsoft YaHei" w:eastAsia="Microsoft YaHei"/>
          <w:b/>
          <w:color w:val="2E74B5"/>
          <w:sz w:val="26"/>
        </w:rPr>
        <w:t>第 38 页：项目实际路线：论文复现后转向 COMSOL 热传导迁移</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如实说明当前项目的有效路线和证据范围。</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阶段 1 是论文方法与 Section IV 复现；阶段 2 是 COMSOL 双保真输入和 H/B/θ 重新实例化；阶段 3 是 10→20 批、消融和统计闭环。</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先用一句话说明本页要回答的问题（如实说明当前项目的有效路线和证据范围。），再按页面中的公式、图表或分栏顺序解释证据，最后落到本页的必要提醒。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README.md；阶段性总结；20 批报告。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未完成的中间支线不作为结果展示。</w:t>
      </w:r>
    </w:p>
    <w:p>
      <w:pPr>
        <w:pStyle w:val="Heading2"/>
        <w:keepNext/>
      </w:pPr>
      <w:r>
        <w:rPr>
          <w:rFonts w:ascii="Microsoft YaHei" w:hAnsi="Microsoft YaHei" w:eastAsia="Microsoft YaHei"/>
          <w:b/>
          <w:color w:val="2E74B5"/>
          <w:sz w:val="26"/>
        </w:rPr>
        <w:t>第 39 页：下一阶段最值得讨论的，不是再加一层黑箱，而是补足证据链</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将当前结论转成下一轮可检验问题。</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讨论大优势批次来源、θ 重参数化、B 最小基函数库、真实实验数据和独立标签节省实验。</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先用一句话说明本页要回答的问题（将当前结论转成下一轮可检验问题。），再按页面中的公式、图表或分栏顺序解释证据，最后落到本页的必要提醒。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20 批报告；阶段性总结。</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这页是组会讨论入口，不是产品路线图。</w:t>
      </w:r>
    </w:p>
    <w:p>
      <w:pPr>
        <w:pStyle w:val="Heading2"/>
        <w:keepNext/>
      </w:pPr>
      <w:r>
        <w:rPr>
          <w:rFonts w:ascii="Microsoft YaHei" w:hAnsi="Microsoft YaHei" w:eastAsia="Microsoft YaHei"/>
          <w:b/>
          <w:color w:val="2E74B5"/>
          <w:sz w:val="26"/>
        </w:rPr>
        <w:t>第 40 页：当前最稳妥的汇报口径，可以压缩成三句话</w:t>
      </w:r>
    </w:p>
    <w:p>
      <w:pPr>
        <w:spacing w:before="0" w:after="100" w:line="300" w:lineRule="auto"/>
      </w:pPr>
      <w:r>
        <w:rPr>
          <w:rFonts w:ascii="Microsoft YaHei" w:hAnsi="Microsoft YaHei" w:eastAsia="Microsoft YaHei"/>
          <w:b/>
          <w:color w:val="1F4D78"/>
          <w:sz w:val="21"/>
        </w:rPr>
        <w:t>页面任务：</w:t>
      </w:r>
      <w:r>
        <w:rPr>
          <w:rFonts w:ascii="Microsoft YaHei" w:hAnsi="Microsoft YaHei" w:eastAsia="Microsoft YaHei"/>
          <w:color w:val="1F2933"/>
          <w:sz w:val="21"/>
        </w:rPr>
        <w:t>收束全文并提出组会选择题。</w:t>
      </w:r>
    </w:p>
    <w:p>
      <w:pPr>
        <w:spacing w:before="0" w:after="100" w:line="300" w:lineRule="auto"/>
      </w:pPr>
      <w:r>
        <w:rPr>
          <w:rFonts w:ascii="Microsoft YaHei" w:hAnsi="Microsoft YaHei" w:eastAsia="Microsoft YaHei"/>
          <w:b/>
          <w:color w:val="1F4D78"/>
          <w:sz w:val="21"/>
        </w:rPr>
        <w:t>页面内容：</w:t>
      </w:r>
      <w:r>
        <w:rPr>
          <w:rFonts w:ascii="Microsoft YaHei" w:hAnsi="Microsoft YaHei" w:eastAsia="Microsoft YaHei"/>
          <w:color w:val="1F2933"/>
          <w:sz w:val="21"/>
        </w:rPr>
        <w:t>论文侧复现结构与协议；迁移侧 20 批×12 标签档保持均值优势趋势；机制侧弱标签管小样本、B 管大样本、q_int 管反超，但显著性证据仍不足。</w:t>
      </w:r>
    </w:p>
    <w:p>
      <w:pPr>
        <w:spacing w:before="0" w:after="100" w:line="300" w:lineRule="auto"/>
      </w:pPr>
      <w:r>
        <w:rPr>
          <w:rFonts w:ascii="Microsoft YaHei" w:hAnsi="Microsoft YaHei" w:eastAsia="Microsoft YaHei"/>
          <w:b/>
          <w:color w:val="1F4D78"/>
          <w:sz w:val="21"/>
        </w:rPr>
        <w:t>建议讲法：</w:t>
      </w:r>
      <w:r>
        <w:rPr>
          <w:rFonts w:ascii="Microsoft YaHei" w:hAnsi="Microsoft YaHei" w:eastAsia="Microsoft YaHei"/>
          <w:color w:val="1F2933"/>
          <w:sz w:val="21"/>
        </w:rPr>
        <w:t>先用一句话说明本页要回答的问题（收束全文并提出组会选择题。），再按页面中的公式、图表或分栏顺序解释证据，最后落到本页的必要提醒。</w:t>
      </w:r>
    </w:p>
    <w:p>
      <w:pPr>
        <w:spacing w:before="0" w:after="160" w:line="276" w:lineRule="auto"/>
      </w:pPr>
      <w:r>
        <w:rPr>
          <w:rFonts w:ascii="Microsoft YaHei" w:hAnsi="Microsoft YaHei" w:eastAsia="Microsoft YaHei"/>
          <w:b/>
          <w:color w:val="5B6573"/>
          <w:sz w:val="18"/>
        </w:rPr>
        <w:t>来源 / 数据：</w:t>
      </w:r>
      <w:r>
        <w:rPr>
          <w:rFonts w:ascii="Microsoft YaHei" w:hAnsi="Microsoft YaHei" w:eastAsia="Microsoft YaHei"/>
          <w:i/>
          <w:color w:val="5B6573"/>
          <w:sz w:val="18"/>
        </w:rPr>
        <w:t>阶段性总结；20 批报告；v3 消融报告。</w:t>
      </w:r>
    </w:p>
    <w:p>
      <w:pPr>
        <w:spacing w:before="0" w:after="100" w:line="300" w:lineRule="auto"/>
      </w:pPr>
      <w:r>
        <w:rPr>
          <w:rFonts w:ascii="Microsoft YaHei" w:hAnsi="Microsoft YaHei" w:eastAsia="Microsoft YaHei"/>
          <w:b/>
          <w:color w:val="9B1C1C"/>
          <w:sz w:val="21"/>
        </w:rPr>
        <w:t>必要提醒：</w:t>
      </w:r>
      <w:r>
        <w:rPr>
          <w:rFonts w:ascii="Microsoft YaHei" w:hAnsi="Microsoft YaHei" w:eastAsia="Microsoft YaHei"/>
          <w:color w:val="1F2933"/>
          <w:sz w:val="21"/>
        </w:rPr>
        <w:t>最后的讨论问题：先扩大数据证据，还是先重构 H/B 与 θ 的可识别性？</w:t>
      </w:r>
    </w:p>
    <w:p>
      <w:pPr>
        <w:spacing w:before="80" w:after="80"/>
        <w:shd w:fill="F2F4F7"/>
      </w:pPr>
      <w:r>
        <w:rPr>
          <w:rFonts w:ascii="Microsoft YaHei" w:hAnsi="Microsoft YaHei" w:eastAsia="Microsoft YaHei"/>
          <w:i/>
          <w:color w:val="5B6573"/>
          <w:sz w:val="18"/>
        </w:rPr>
        <w:t>模块分隔：下一页进入新的证据层。</w:t>
      </w:r>
    </w:p>
    <w:p>
      <w:pPr>
        <w:pStyle w:val="Heading1"/>
      </w:pPr>
      <w:r>
        <w:t>四、人工审核建议</w:t>
      </w:r>
    </w:p>
    <w:p>
      <w:pPr>
        <w:spacing w:before="0" w:after="100" w:line="300" w:lineRule="auto"/>
      </w:pPr>
      <w:r>
        <w:rPr>
          <w:rFonts w:ascii="Microsoft YaHei" w:hAnsi="Microsoft YaHei" w:eastAsia="Microsoft YaHei"/>
          <w:b/>
          <w:color w:val="1F4D78"/>
          <w:sz w:val="21"/>
        </w:rPr>
        <w:t>优先审核 1：</w:t>
      </w:r>
      <w:r>
        <w:rPr>
          <w:rFonts w:ascii="Microsoft YaHei" w:hAnsi="Microsoft YaHei" w:eastAsia="Microsoft YaHei"/>
          <w:color w:val="1F2933"/>
          <w:sz w:val="21"/>
        </w:rPr>
        <w:t>第 15–18 页基函数部分是否足够让非算法听众理解“为什么不直接使用完整代数方程”。</w:t>
      </w:r>
    </w:p>
    <w:p>
      <w:pPr>
        <w:spacing w:before="0" w:after="100" w:line="300" w:lineRule="auto"/>
      </w:pPr>
      <w:r>
        <w:rPr>
          <w:rFonts w:ascii="Microsoft YaHei" w:hAnsi="Microsoft YaHei" w:eastAsia="Microsoft YaHei"/>
          <w:b/>
          <w:color w:val="1F4D78"/>
          <w:sz w:val="21"/>
        </w:rPr>
        <w:t>优先审核 2：</w:t>
      </w:r>
      <w:r>
        <w:rPr>
          <w:rFonts w:ascii="Microsoft YaHei" w:hAnsi="Microsoft YaHei" w:eastAsia="Microsoft YaHei"/>
          <w:color w:val="1F2933"/>
          <w:sz w:val="21"/>
        </w:rPr>
        <w:t>第 30–35 页的数据、统计、消融和弱标签数量是否需要保留全部细节，还是按组会时长压缩。</w:t>
      </w:r>
    </w:p>
    <w:p>
      <w:pPr>
        <w:spacing w:before="0" w:after="100" w:line="300" w:lineRule="auto"/>
      </w:pPr>
      <w:r>
        <w:rPr>
          <w:rFonts w:ascii="Microsoft YaHei" w:hAnsi="Microsoft YaHei" w:eastAsia="Microsoft YaHei"/>
          <w:b/>
          <w:color w:val="1F4D78"/>
          <w:sz w:val="21"/>
        </w:rPr>
        <w:t>优先审核 3：</w:t>
      </w:r>
      <w:r>
        <w:rPr>
          <w:rFonts w:ascii="Microsoft YaHei" w:hAnsi="Microsoft YaHei" w:eastAsia="Microsoft YaHei"/>
          <w:color w:val="1F2933"/>
          <w:sz w:val="21"/>
        </w:rPr>
        <w:t>第 36–40 页的局限和讨论问题是否符合当前项目真实状态，尤其是 θ 的解释和显著性口径。</w:t>
      </w:r>
    </w:p>
    <w:p>
      <w:pPr>
        <w:spacing w:before="0" w:after="100" w:line="300" w:lineRule="auto"/>
      </w:pPr>
      <w:r>
        <w:rPr>
          <w:rFonts w:ascii="Microsoft YaHei" w:hAnsi="Microsoft YaHei" w:eastAsia="Microsoft YaHei"/>
          <w:b/>
          <w:color w:val="1F4D78"/>
          <w:sz w:val="21"/>
        </w:rPr>
        <w:t>建议删减顺序：</w:t>
      </w:r>
      <w:r>
        <w:rPr>
          <w:rFonts w:ascii="Microsoft YaHei" w:hAnsi="Microsoft YaHei" w:eastAsia="Microsoft YaHei"/>
          <w:color w:val="1F2933"/>
          <w:sz w:val="21"/>
        </w:rPr>
        <w:t>若组会时间有限，优先压缩第 14、17、21、22、26、29 页；不建议先删去第 31–35 页的结果证据或第 36–40 页的局限性。</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B6573"/>
        <w:sz w:val="18"/>
      </w:rPr>
      <w:t xml:space="preserve">页码 </w:t>
    </w:r>
    <w:r>
      <w:rPr>
        <w:rFonts w:ascii="Microsoft YaHei" w:hAnsi="Microsoft YaHei" w:eastAsia="Microsoft YaHe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color w:val="5B6573"/>
        <w:sz w:val="18"/>
      </w:rPr>
      <w:t>PWL 组会汇报 · 逐页讲解稿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PWL 项目完整组会 PPT 逐页讲解稿</dc:title>
  <dc:subject>PWL 论文复现、COMSOL 热传导迁移与结果解释</dc:subject>
  <dc:creator/>
  <cp:keywords/>
  <dc:description>用于人工审核与组会讲解。</dc:description>
  <cp:lastModifiedBy/>
  <cp:revision>1</cp:revision>
  <dcterms:created xsi:type="dcterms:W3CDTF">2013-12-23T23:15:00Z</dcterms:created>
  <dcterms:modified xsi:type="dcterms:W3CDTF">2013-12-23T23:15:00Z</dcterms:modified>
  <cp:category/>
</cp:coreProperties>
</file>