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r>
        <w:t>Introduction</w:t>
      </w:r>
    </w:p>
    <w:p>
      <w:r>
        <w:t>Smith, J. A., &amp; Doe, R. B. (2019). Methodologies for sample studies. Journal of Sample Research, 12(3), 45-67.</w:t>
      </w:r>
    </w:p>
    <w:p>
      <w:r>
        <w:t>https://example.com/resources/2019</w:t>
      </w:r>
    </w:p>
    <w:p>
      <w:r>
        <w:t>47 33 12 88 5 91 300 42</w:t>
      </w:r>
    </w:p>
    <w:p>
      <w:r>
        <w:t>The intertidal zone of the northern peninsula has been monitored irregularly since the early 1990s, yet no study has attempted to reconcile the conflicting salinity records kept by the regional port authority with those logged by the university field station. This thesis addresses that gap. Fieldwork was carried out over fourteen months, during which water samples were drawn at six fixed stations every fortnight and analysed by a coupled ion-chromatography workflow that we validated against certified reference material before each campaign.</w:t>
      </w:r>
    </w:p>
    <w:p>
      <w:r>
        <w:t>Because the sampling campaign spanned two hydrological years, we were careful to distinguish seasonal drift from genuine regime shifts, and every figure reports confidence intervals derived from block bootstrapping rather than from the naive standard error, a choice whose consequences are discussed in detail in section 4.3.</w:t>
      </w:r>
    </w:p>
    <w:p>
      <w:r>
        <w:t>Furthermore, it is important to note that the comprehensive framework presented in this chapter underscores the significance of integrating multidisciplinary perspectives. In conclusion, the findings demonstrate a robust correlation between the variables examined, thereby highlighting the critical role of structured methodologies. Moreover, it is worth noting that stakeholders should leverage these insights to facilitate data-driven decision-making across all organizational levels.</w:t>
      </w:r>
    </w:p>
    <w:p>
      <w:r>
        <w:t>The following appendix paragraph deliberately exceeds the transformer window so that the truncation warning can be verified end to end. It repeats a discussion of laboratory quality assurance procedures at length, covering calibration drift, blank contamination, column ageing, detector noise, sample carry-over, autosampler rinsing, temperature control of the mobile phase, buffer preparation logs, analyst training records, chain-of-custody forms, retention time alignment, integration parameters, audit trail exports, instrument maintenance windows, spare part inventories, software version pinning, reference standard certificates, proficiency testing rounds, measurement uncertainty budgets, and internal quality control charts. In addition, it elaborates on how each of these elements interacts with the others during a fourteen-month campaign: calibration drift is countered by bracketing standards, blank contamination is tracked through triplicate reagent blanks, column ageing is recorded alongside back-pressure traces, detector noise is quantified during overnight vacuum runs, sample carry-over is measured after high-concentration samples, and management review closes the cycle each quarter with a documented decision record. Beyond the checklist above, the campaign log records the weather conditions prevailing during each sampling round, the identity of the analyst on duty, the lot number of every reagent bottle opened, and the exact minute at which each vial was capped and placed in the cooled transport box. Deviations from the standard operating procedure are annotated in the margin of the field sheets and transcribed into the electronic record before the data are locked, so that any later query can be answered by pointing at the original page rather than at a reconstructed narrative. The audit trail itself is exported weekly to write-once media, hashed, and countersigned by a second analyst who did not participate in the measurements, which makes silent alteration of the record effectively impossible without detection.</w:t>
      </w:r>
    </w:p>
    <w:p>
      <w:r>
        <w:t>References</w:t>
      </w:r>
    </w:p>
    <w:p>
      <w:r>
        <w:t>Doe, R. B. (2021). Tidal salinity records revisited. Coastal Science Letters, 8(2), 101-119.</w:t>
      </w:r>
    </w:p>
    <w:p>
      <w:r>
        <w:t>The final paragraph returns to ordinary prose after the long appendix block, offering a short closing reflection on how the peninsula's monitoring practices might be modernised with automated sondes without losing the interpretive value that local knowledge brings to the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