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icrosoft YaHei" w:hAnsi="Microsoft YaHei" w:eastAsia="Microsoft YaHei"/>
          <w:b/>
          <w:sz w:val="25"/>
        </w:rPr>
        <w:t>issue #497–#504 批次交付状态</w:t>
      </w:r>
    </w:p>
    <w:p>
      <w:pPr>
        <w:spacing w:after="20"/>
      </w:pPr>
      <w:r>
        <w:rPr>
          <w:rFonts w:ascii="Microsoft YaHei" w:hAnsi="Microsoft YaHei" w:eastAsia="Microsoft YaHei"/>
          <w:sz w:val="15"/>
        </w:rPr>
        <w:t>PR #506 ｜ 分支 codex/ci-green-20261016 ｜ 基线 origin/master @ c720aef5（rebase 后）｜ 6 commits 已 push</w:t>
      </w:r>
    </w:p>
    <w:p>
      <w:pPr>
        <w:spacing w:after="30"/>
      </w:pPr>
      <w:r>
        <w:rPr>
          <w:rFonts w:ascii="Microsoft YaHei" w:hAnsi="Microsoft YaHei" w:eastAsia="Microsoft YaHei"/>
          <w:b/>
          <w:sz w:val="17"/>
        </w:rPr>
        <w:t>一、提交（rebase 后，已 push）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89"/>
        <w:gridCol w:w="3589"/>
        <w:gridCol w:w="3589"/>
      </w:tblGrid>
      <w:tr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hash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issue</w:t>
            </w:r>
          </w:p>
        </w:tc>
        <w:tc>
          <w:tcPr>
            <w:tcW w:type="dxa" w:w="7143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摘要</w:t>
            </w:r>
          </w:p>
        </w:tc>
      </w:tr>
      <w:tr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08e74e24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#504</w:t>
            </w:r>
          </w:p>
        </w:tc>
        <w:tc>
          <w:tcPr>
            <w:tcW w:type="dxa" w:w="7143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.gitignore 补 7 类规则 + 5 份 goal-loop ledger 归位</w:t>
            </w:r>
          </w:p>
        </w:tc>
      </w:tr>
      <w:tr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64cf05a4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附带</w:t>
            </w:r>
          </w:p>
        </w:tc>
        <w:tc>
          <w:tcPr>
            <w:tcW w:type="dxa" w:w="7143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predictionworkflow 直接 include arearules.h（ORT=OFF 构建必断 / C2653）</w:t>
            </w:r>
          </w:p>
        </w:tc>
      </w:tr>
      <w:tr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c2091992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#499</w:t>
            </w:r>
          </w:p>
        </w:tc>
        <w:tc>
          <w:tcPr>
            <w:tcW w:type="dxa" w:w="7143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CI Windows 两真红：异步清理竞态（QTRY）+ OGR 句柄（DeferredDelete）</w:t>
            </w:r>
          </w:p>
        </w:tc>
      </w:tr>
      <w:tr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f37b3503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#501</w:t>
            </w:r>
          </w:p>
        </w:tc>
        <w:tc>
          <w:tcPr>
            <w:tcW w:type="dxa" w:w="7143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环境债名单 reviewed_utc 强制 + 超期 warning + flaky 放行台账</w:t>
            </w:r>
          </w:p>
        </w:tc>
      </w:tr>
      <w:tr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91ddd17a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#502</w:t>
            </w:r>
          </w:p>
        </w:tc>
        <w:tc>
          <w:tcPr>
            <w:tcW w:type="dxa" w:w="7143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新闸 tools/check_ui_size.py（src/ui ≤1000 行，只缩不涨）+ baseline 12 条</w:t>
            </w:r>
          </w:p>
        </w:tc>
      </w:tr>
      <w:tr>
        <w:tc>
          <w:tcPr>
            <w:tcW w:type="dxa" w:w="1134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f82ba7d2</w:t>
            </w:r>
          </w:p>
        </w:tc>
        <w:tc>
          <w:tcPr>
            <w:tcW w:type="dxa" w:w="102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#498+#502</w:t>
            </w:r>
          </w:p>
        </w:tc>
        <w:tc>
          <w:tcPr>
            <w:tcW w:type="dxa" w:w="7143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asan 磁盘水位闸（与 #505 叠加）+ 规模闸接线</w:t>
            </w:r>
          </w:p>
        </w:tc>
      </w:tr>
    </w:tbl>
    <w:p>
      <w:pPr>
        <w:spacing w:after="30"/>
      </w:pPr>
      <w:r>
        <w:rPr>
          <w:rFonts w:ascii="Microsoft YaHei" w:hAnsi="Microsoft YaHei" w:eastAsia="Microsoft YaHei"/>
          <w:b/>
          <w:sz w:val="17"/>
        </w:rPr>
        <w:t>二、rebase 时的重叠处置（推送前必做的一步）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91"/>
        <w:gridCol w:w="2691"/>
        <w:gridCol w:w="2691"/>
        <w:gridCol w:w="2691"/>
      </w:tblGrid>
      <w:tr>
        <w:tc>
          <w:tcPr>
            <w:tcW w:type="dxa" w:w="158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我的提交</w:t>
            </w:r>
          </w:p>
        </w:tc>
        <w:tc>
          <w:tcPr>
            <w:tcW w:type="dxa" w:w="1701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master 已合入</w:t>
            </w:r>
          </w:p>
        </w:tc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处置</w:t>
            </w:r>
          </w:p>
        </w:tc>
        <w:tc>
          <w:tcPr>
            <w:tcW w:type="dxa" w:w="4082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理由</w:t>
            </w:r>
          </w:p>
        </w:tc>
      </w:tr>
      <w:tr>
        <w:tc>
          <w:tcPr>
            <w:tcW w:type="dxa" w:w="158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#500 child 改引用</w:t>
            </w:r>
          </w:p>
        </w:tc>
        <w:tc>
          <w:tcPr>
            <w:tcW w:type="dxa" w:w="1701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#495 同解（同一行）</w:t>
            </w:r>
          </w:p>
        </w:tc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丢弃冗余提交</w:t>
            </w:r>
          </w:p>
        </w:tc>
        <w:tc>
          <w:tcPr>
            <w:tcW w:type="dxa" w:w="4082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问题已修复，重复改同一行只会制造冲突</w:t>
            </w:r>
          </w:p>
        </w:tc>
      </w:tr>
      <w:tr>
        <w:tc>
          <w:tcPr>
            <w:tcW w:type="dxa" w:w="158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#498 清理 + -g1</w:t>
            </w:r>
          </w:p>
        </w:tc>
        <w:tc>
          <w:tcPr>
            <w:tcW w:type="dxa" w:w="1701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#505 清理更全 + -gz</w:t>
            </w:r>
          </w:p>
        </w:tc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合并：采用 -gz，弃 -g1</w:t>
            </w:r>
          </w:p>
        </w:tc>
        <w:tc>
          <w:tcPr>
            <w:tcW w:type="dxa" w:w="4082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-gz 压缩调试段、信息不减；-g1 会丢变量/内联段</w:t>
            </w:r>
          </w:p>
        </w:tc>
      </w:tr>
      <w:tr>
        <w:tc>
          <w:tcPr>
            <w:tcW w:type="dxa" w:w="158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—</w:t>
            </w:r>
          </w:p>
        </w:tc>
        <w:tc>
          <w:tcPr>
            <w:tcW w:type="dxa" w:w="1701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—</w:t>
            </w:r>
          </w:p>
        </w:tc>
        <w:tc>
          <w:tcPr>
            <w:tcW w:type="dxa" w:w="1928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保留我独有项</w:t>
            </w:r>
          </w:p>
        </w:tc>
        <w:tc>
          <w:tcPr>
            <w:tcW w:type="dxa" w:w="4082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Disk space guard（&lt;40GB 早失败报明确原因）+ hostedtoolcache/node_modules</w:t>
            </w:r>
          </w:p>
        </w:tc>
      </w:tr>
    </w:tbl>
    <w:p>
      <w:pPr>
        <w:spacing w:after="30"/>
      </w:pPr>
      <w:r>
        <w:rPr>
          <w:rFonts w:ascii="Microsoft YaHei" w:hAnsi="Microsoft YaHei" w:eastAsia="Microsoft YaHei"/>
          <w:b/>
          <w:sz w:val="17"/>
        </w:rPr>
        <w:t>三、验证证据（新基线上复验，本机 Windows localdeps / Qt 6.11.2）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83"/>
        <w:gridCol w:w="5383"/>
      </w:tblGrid>
      <w:tr>
        <w:tc>
          <w:tcPr>
            <w:tcW w:type="dxa" w:w="4876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项</w:t>
            </w:r>
          </w:p>
        </w:tc>
        <w:tc>
          <w:tcPr>
            <w:tcW w:type="dxa" w:w="4422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结果</w:t>
            </w:r>
          </w:p>
        </w:tc>
      </w:tr>
      <w:tr>
        <w:tc>
          <w:tcPr>
            <w:tcW w:type="dxa" w:w="4876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tst_mappingworkbench::removeDraftDeletesWorkingCopy</w:t>
            </w:r>
          </w:p>
        </w:tc>
        <w:tc>
          <w:tcPr>
            <w:tcW w:type="dxa" w:w="4422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 passed / 0 failed ✅</w:t>
            </w:r>
          </w:p>
        </w:tc>
      </w:tr>
      <w:tr>
        <w:tc>
          <w:tcPr>
            <w:tcW w:type="dxa" w:w="4876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tst_versions::savedBytesAndPdfSurviveWorkingChanges</w:t>
            </w:r>
          </w:p>
        </w:tc>
        <w:tc>
          <w:tcPr>
            <w:tcW w:type="dxa" w:w="4422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 passed / 0 failed ✅</w:t>
            </w:r>
          </w:p>
        </w:tc>
      </w:tr>
      <w:tr>
        <w:tc>
          <w:tcPr>
            <w:tcW w:type="dxa" w:w="4876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全量对照实验（stash 改动 vs 带改动）</w:t>
            </w:r>
          </w:p>
        </w:tc>
        <w:tc>
          <w:tcPr>
            <w:tcW w:type="dxa" w:w="4422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基线红 savedBytes → 修复后该用例转绿</w:t>
            </w:r>
          </w:p>
        </w:tc>
      </w:tr>
      <w:tr>
        <w:tc>
          <w:tcPr>
            <w:tcW w:type="dxa" w:w="4876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源码门禁 9 项（layering / ui_invariants / ui_size+selftest / i18n / env_redset validate+selftest / ci_scripts / docs_drift）</w:t>
            </w:r>
          </w:p>
        </w:tc>
        <w:tc>
          <w:tcPr>
            <w:tcW w:type="dxa" w:w="4422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9/9 绿</w:t>
            </w:r>
          </w:p>
        </w:tc>
      </w:tr>
      <w:tr>
        <w:tc>
          <w:tcPr>
            <w:tcW w:type="dxa" w:w="4876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check_ui_size --strict</w:t>
            </w:r>
          </w:p>
        </w:tc>
        <w:tc>
          <w:tcPr>
            <w:tcW w:type="dxa" w:w="4422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392 文件 / &gt;1000 行 12 个 = baseline 12 条，clean</w:t>
            </w:r>
          </w:p>
        </w:tc>
      </w:tr>
      <w:tr>
        <w:tc>
          <w:tcPr>
            <w:tcW w:type="dxa" w:w="4876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YAML / CI 脚本引用</w:t>
            </w:r>
          </w:p>
        </w:tc>
        <w:tc>
          <w:tcPr>
            <w:tcW w:type="dxa" w:w="4422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可解析 + 15 个脚本引用全部存在</w:t>
            </w:r>
          </w:p>
        </w:tc>
      </w:tr>
    </w:tbl>
    <w:p>
      <w:pPr>
        <w:spacing w:after="30"/>
      </w:pPr>
      <w:r>
        <w:rPr>
          <w:rFonts w:ascii="Microsoft YaHei" w:hAnsi="Microsoft YaHei" w:eastAsia="Microsoft YaHei"/>
          <w:b/>
          <w:sz w:val="17"/>
        </w:rPr>
        <w:t>四、#503 的 18× 差距已定位（修正原判断）</w:t>
      </w:r>
    </w:p>
    <w:p>
      <w:pPr>
        <w:spacing w:after="20"/>
      </w:pPr>
      <w:r>
        <w:rPr>
          <w:rFonts w:ascii="Microsoft YaHei" w:hAnsi="Microsoft YaHei" w:eastAsia="Microsoft YaHei"/>
          <w:sz w:val="16"/>
        </w:rPr>
        <w:t>不是「Windows 慢 18 倍」，而是 **并行度 8× × 单测试 2.2×**：linux 走 ctest -j min(核数,8)（paleo-dev:104-112），而 paleo-dev.ps1:388 **未传 -j → 串行**。等效单进程：linux ≈147.6×8≈1181s vs Windows 2635s，剩余 2.2× 才是单测试本身差异。「Windows 必须串行」的理由（QSettings 注册表）在方向 81 落地测试私有注册表 hive 后可能已失效，ci.yml 注释疑为未同步更新。若并行可行，Windows 墙钟可从 44min 压到 ~11min —— 远优于拆巨型测试文件（拆文件不减少总墙钟）。已写入 #503，建议单独 PR 试跑 -j4（本机只有 2 个测试目标，无法本地验证并行安全）。</w:t>
      </w:r>
    </w:p>
    <w:p>
      <w:pPr>
        <w:spacing w:after="30"/>
      </w:pPr>
      <w:r>
        <w:rPr>
          <w:rFonts w:ascii="Microsoft YaHei" w:hAnsi="Microsoft YaHei" w:eastAsia="Microsoft YaHei"/>
          <w:b/>
          <w:sz w:val="17"/>
        </w:rPr>
        <w:t>五、issue 收口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83"/>
        <w:gridCol w:w="5383"/>
      </w:tblGrid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issue</w:t>
            </w:r>
          </w:p>
        </w:tc>
        <w:tc>
          <w:tcPr>
            <w:tcW w:type="dxa" w:w="725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状态</w:t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#500</w:t>
            </w:r>
          </w:p>
        </w:tc>
        <w:tc>
          <w:tcPr>
            <w:tcW w:type="dxa" w:w="725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已关闭（归属 #495，本批丢弃重复提交）</w:t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#499</w:t>
            </w:r>
          </w:p>
        </w:tc>
        <w:tc>
          <w:tcPr>
            <w:tcW w:type="dxa" w:w="725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已更新：2/3 处修复经 PR #506 提交；第三处（夹具清理缺陷）另立</w:t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#497</w:t>
            </w:r>
          </w:p>
        </w:tc>
        <w:tc>
          <w:tcPr>
            <w:tcW w:type="dxa" w:w="725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已更新进展表；待你拍板 master 健康度底线（是否恢复 strict required checks）</w:t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#503</w:t>
            </w:r>
          </w:p>
        </w:tc>
        <w:tc>
          <w:tcPr>
            <w:tcW w:type="dxa" w:w="725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已更新 18× 定位与拆分调研结论</w:t>
            </w:r>
          </w:p>
        </w:tc>
      </w:tr>
      <w:tr>
        <w:tc>
          <w:tcPr>
            <w:tcW w:type="dxa" w:w="2041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#498 / #501 / #502 / #504</w:t>
            </w:r>
          </w:p>
        </w:tc>
        <w:tc>
          <w:tcPr>
            <w:tcW w:type="dxa" w:w="725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PR #506 中提交，待 CI 验证后自动关闭</w:t>
            </w:r>
          </w:p>
        </w:tc>
      </w:tr>
    </w:tbl>
    <w:p>
      <w:pPr>
        <w:spacing w:after="30"/>
      </w:pPr>
      <w:r>
        <w:rPr>
          <w:rFonts w:ascii="Microsoft YaHei" w:hAnsi="Microsoft YaHei" w:eastAsia="Microsoft YaHei"/>
          <w:b/>
          <w:sz w:val="17"/>
        </w:rPr>
        <w:t>六、下一步（你已选：拆巨型测试文件 + 定位 18× 差距）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89"/>
        <w:gridCol w:w="3589"/>
        <w:gridCol w:w="3589"/>
      </w:tblGrid>
      <w:tr>
        <w:tc>
          <w:tcPr>
            <w:tcW w:type="dxa" w:w="1701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项</w:t>
            </w:r>
          </w:p>
        </w:tc>
        <w:tc>
          <w:tcPr>
            <w:tcW w:type="dxa" w:w="124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状态</w:t>
            </w:r>
          </w:p>
        </w:tc>
        <w:tc>
          <w:tcPr>
            <w:tcW w:type="dxa" w:w="635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定位 18× 差距</w:t>
            </w:r>
          </w:p>
        </w:tc>
        <w:tc>
          <w:tcPr>
            <w:tcW w:type="dxa" w:w="124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✅ 已完成</w:t>
            </w:r>
          </w:p>
        </w:tc>
        <w:tc>
          <w:tcPr>
            <w:tcW w:type="dxa" w:w="635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结论见第四节；实施（Windows 试跑 -j4）建议独立 PR，因需 CI 侧验证并行安全</w:t>
            </w:r>
          </w:p>
        </w:tc>
      </w:tr>
      <w:tr>
        <w:tc>
          <w:tcPr>
            <w:tcW w:type="dxa" w:w="1701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拆 tst_panels</w:t>
            </w:r>
          </w:p>
        </w:tc>
        <w:tc>
          <w:tcPr>
            <w:tcW w:type="dxa" w:w="1247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待实施</w:t>
            </w:r>
          </w:p>
        </w:tc>
        <w:tc>
          <w:tcPr>
            <w:tcW w:type="dxa" w:w="6350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5,337 行 = 单类 TestPanels 144 用例，命名已按页面分族（dataPage_* / predictPage_* / constraintPage_* / composePage_* / validatePage_* / folderConfirm_* / mainWindow_*）；需先抽共享 Fixture 到 tests/support/，属独立工程与独立分支/PR</w:t>
            </w:r>
          </w:p>
        </w:tc>
      </w:tr>
    </w:tbl>
    <w:sectPr w:rsidR="00FC693F" w:rsidRPr="0006063C" w:rsidSect="00034616">
      <w:pgSz w:w="12240" w:h="15840"/>
      <w:pgMar w:top="624" w:right="737" w:bottom="624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30" w:before="0"/>
    </w:pPr>
    <w:rPr>
      <w:rFonts w:ascii="Microsoft YaHei" w:hAnsi="Microsoft YaHei" w:eastAsia="Microsoft YaHei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