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BAA45">
      <w:pPr>
        <w:keepNext/>
        <w:keepLines/>
        <w:spacing w:before="100" w:beforeAutospacing="1" w:after="100" w:afterAutospacing="1"/>
        <w:outlineLvl w:val="0"/>
        <w:rPr>
          <w:kern w:val="44"/>
          <w:sz w:val="44"/>
          <w:szCs w:val="44"/>
        </w:rPr>
      </w:pPr>
      <w:r>
        <w:rPr>
          <w:b/>
          <w:sz w:val="44"/>
        </w:rPr>
        <w:t>Integrat</w:t>
      </w:r>
      <w:bookmarkStart w:id="0" w:name="_GoBack"/>
      <w:bookmarkEnd w:id="0"/>
      <w:r>
        <w:rPr>
          <w:b/>
          <w:sz w:val="44"/>
        </w:rPr>
        <w:t>ed Analysis Summary</w:t>
      </w:r>
    </w:p>
    <w:p w14:paraId="22925742">
      <w:r>
        <w:rPr>
          <w:b/>
        </w:rPr>
        <w:t>Subject system:</w:t>
      </w:r>
      <w:r>
        <w:t xml:space="preserve"> Hospital Patient Referral, Treatment and Administration System</w:t>
      </w:r>
    </w:p>
    <w:p w14:paraId="2D2E423C">
      <w:pPr>
        <w:rPr>
          <w:rFonts w:hint="eastAsia"/>
          <w:b/>
          <w:bCs/>
          <w:sz w:val="24"/>
          <w:szCs w:val="24"/>
          <w:lang w:val="en-US" w:eastAsia="zh-CN"/>
        </w:rPr>
      </w:pPr>
      <w:r>
        <w:rPr>
          <w:rFonts w:hint="eastAsia"/>
          <w:b/>
          <w:bCs/>
          <w:sz w:val="24"/>
          <w:szCs w:val="24"/>
          <w:lang w:val="en-US" w:eastAsia="zh-CN"/>
        </w:rPr>
        <w:t>Feedback:</w:t>
      </w:r>
    </w:p>
    <w:p w14:paraId="77A4BEAB">
      <w:pPr>
        <w:rPr>
          <w:rFonts w:hint="default"/>
          <w:sz w:val="24"/>
          <w:szCs w:val="24"/>
          <w:lang w:val="en-US" w:eastAsia="zh-CN"/>
        </w:rPr>
      </w:pPr>
      <w:r>
        <w:rPr>
          <w:rFonts w:hint="default"/>
          <w:sz w:val="24"/>
          <w:szCs w:val="24"/>
          <w:lang w:val="en-US" w:eastAsia="zh-CN"/>
        </w:rPr>
        <w:t>1. Implement role-based access control.</w:t>
      </w:r>
    </w:p>
    <w:p w14:paraId="570B5C0E">
      <w:pPr>
        <w:rPr>
          <w:rFonts w:hint="default"/>
          <w:sz w:val="24"/>
          <w:szCs w:val="24"/>
          <w:lang w:val="en-US" w:eastAsia="zh-CN"/>
        </w:rPr>
      </w:pPr>
      <w:r>
        <w:rPr>
          <w:rFonts w:hint="default"/>
          <w:sz w:val="24"/>
          <w:szCs w:val="24"/>
          <w:lang w:val="en-US" w:eastAsia="zh-CN"/>
        </w:rPr>
        <w:t>2. Strengthen form validation to prevent missing or invalid inputs.</w:t>
      </w:r>
    </w:p>
    <w:p w14:paraId="46A1A96F">
      <w:pPr>
        <w:rPr>
          <w:rFonts w:hint="default"/>
          <w:sz w:val="24"/>
          <w:szCs w:val="24"/>
          <w:lang w:val="en-US" w:eastAsia="zh-CN"/>
        </w:rPr>
      </w:pPr>
      <w:r>
        <w:rPr>
          <w:rFonts w:hint="default"/>
          <w:sz w:val="24"/>
          <w:szCs w:val="24"/>
          <w:lang w:val="en-US" w:eastAsia="zh-CN"/>
        </w:rPr>
        <w:t>3. Implement the required business logic in service workers.</w:t>
      </w:r>
    </w:p>
    <w:p w14:paraId="1335303F">
      <w:pPr>
        <w:rPr>
          <w:rFonts w:hint="default"/>
          <w:sz w:val="24"/>
          <w:szCs w:val="24"/>
          <w:lang w:val="en-US" w:eastAsia="zh-CN"/>
        </w:rPr>
      </w:pPr>
      <w:r>
        <w:rPr>
          <w:rFonts w:hint="default"/>
          <w:sz w:val="24"/>
          <w:szCs w:val="24"/>
          <w:lang w:val="en-US" w:eastAsia="zh-CN"/>
        </w:rPr>
        <w:t>4. Use merging gateways where appropriate to bring process paths together.</w:t>
      </w:r>
    </w:p>
    <w:p w14:paraId="581E1AC3">
      <w:pPr>
        <w:rPr>
          <w:rFonts w:hint="default"/>
          <w:sz w:val="24"/>
          <w:szCs w:val="24"/>
          <w:lang w:val="en-US" w:eastAsia="zh-CN"/>
        </w:rPr>
      </w:pPr>
      <w:r>
        <w:rPr>
          <w:rFonts w:hint="default"/>
          <w:sz w:val="24"/>
          <w:szCs w:val="24"/>
          <w:lang w:val="en-US" w:eastAsia="zh-CN"/>
        </w:rPr>
        <w:t>5. Implement data persistence to store and retrieve application data.</w:t>
      </w:r>
    </w:p>
    <w:p w14:paraId="6CAF4D05">
      <w:pPr>
        <w:keepNext/>
        <w:keepLines/>
        <w:spacing w:before="100" w:beforeAutospacing="1" w:after="100" w:afterAutospacing="1"/>
        <w:outlineLvl w:val="1"/>
        <w:rPr>
          <w:sz w:val="32"/>
          <w:szCs w:val="32"/>
        </w:rPr>
      </w:pPr>
      <w:r>
        <w:rPr>
          <w:b/>
          <w:sz w:val="32"/>
        </w:rPr>
        <w:t>Expected baseline (from the task brief)</w:t>
      </w:r>
    </w:p>
    <w:p w14:paraId="456D9F7E">
      <w:pPr>
        <w:numPr>
          <w:ilvl w:val="0"/>
          <w:numId w:val="1"/>
        </w:numPr>
      </w:pPr>
      <w:r>
        <w:rPr>
          <w:b/>
        </w:rPr>
        <w:t>Business goal</w:t>
      </w:r>
      <w:r>
        <w:t xml:space="preserve"> — take a referred patient from referral through to treatment as one repeatable end-to-end process.</w:t>
      </w:r>
    </w:p>
    <w:p w14:paraId="54E4A149">
      <w:pPr>
        <w:numPr>
          <w:ilvl w:val="0"/>
          <w:numId w:val="1"/>
        </w:numPr>
      </w:pPr>
      <w:r>
        <w:rPr>
          <w:b/>
        </w:rPr>
        <w:t>BPM lifecycle (main phases)</w:t>
      </w:r>
      <w:r>
        <w:t xml:space="preserve"> — Identify → Discover (AS-IS) → Analyse → Redesign (TO-BE) → Monitor.</w:t>
      </w:r>
    </w:p>
    <w:p w14:paraId="29F96855">
      <w:pPr>
        <w:numPr>
          <w:ilvl w:val="0"/>
          <w:numId w:val="1"/>
        </w:numPr>
      </w:pPr>
      <w:r>
        <w:rPr>
          <w:b/>
        </w:rPr>
        <w:t>Task 2 expectation</w:t>
      </w:r>
      <w:r>
        <w:t xml:space="preserve"> — identify the necessary stakeholders (the brief lists 7 classes) and analyse the components, sub-processes and their dependencies.</w:t>
      </w:r>
    </w:p>
    <w:p w14:paraId="4F1FC236">
      <w:pPr>
        <w:keepNext/>
        <w:keepLines/>
        <w:spacing w:before="100" w:beforeAutospacing="1" w:after="100" w:afterAutospacing="1"/>
        <w:outlineLvl w:val="1"/>
        <w:rPr>
          <w:sz w:val="32"/>
          <w:szCs w:val="32"/>
        </w:rPr>
      </w:pPr>
      <w:r>
        <w:rPr>
          <w:b/>
          <w:sz w:val="32"/>
        </w:rPr>
        <w:t>Part A — Can SD / SR account for the stakeholders shown in the BPMN?</w:t>
      </w:r>
    </w:p>
    <w:tbl>
      <w:tblPr>
        <w:tblStyle w:val="2"/>
        <w:tblW w:w="1450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80" w:type="dxa"/>
          <w:left w:w="110" w:type="dxa"/>
          <w:bottom w:w="80" w:type="dxa"/>
          <w:right w:w="110" w:type="dxa"/>
        </w:tblCellMar>
      </w:tblPr>
      <w:tblGrid>
        <w:gridCol w:w="3400"/>
        <w:gridCol w:w="1700"/>
        <w:gridCol w:w="9400"/>
      </w:tblGrid>
      <w:tr w14:paraId="7AC9219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rPr>
          <w:tblHeader/>
          <w:jc w:val="center"/>
        </w:trPr>
        <w:tc>
          <w:tcPr>
            <w:tcW w:w="3400" w:type="dxa"/>
            <w:vAlign w:val="top"/>
          </w:tcPr>
          <w:p w14:paraId="77E5394A">
            <w:pPr>
              <w:rPr>
                <w:b/>
                <w:bCs/>
              </w:rPr>
            </w:pPr>
            <w:r>
              <w:rPr>
                <w:b/>
              </w:rPr>
              <w:t>Stakeholder group in the BPMN</w:t>
            </w:r>
          </w:p>
        </w:tc>
        <w:tc>
          <w:tcPr>
            <w:tcW w:w="1700" w:type="dxa"/>
            <w:vAlign w:val="top"/>
          </w:tcPr>
          <w:p w14:paraId="727B38EE">
            <w:pPr>
              <w:rPr>
                <w:b/>
                <w:bCs/>
              </w:rPr>
            </w:pPr>
            <w:r>
              <w:rPr>
                <w:b/>
              </w:rPr>
              <w:t>Covered by SD / SR?</w:t>
            </w:r>
          </w:p>
        </w:tc>
        <w:tc>
          <w:tcPr>
            <w:tcW w:w="9400" w:type="dxa"/>
            <w:vAlign w:val="top"/>
          </w:tcPr>
          <w:p w14:paraId="33804DD7">
            <w:pPr>
              <w:rPr>
                <w:b/>
                <w:bCs/>
              </w:rPr>
            </w:pPr>
            <w:r>
              <w:rPr>
                <w:b/>
              </w:rPr>
              <w:t>Why / evidence, and the gap against the expectation</w:t>
            </w:r>
          </w:p>
        </w:tc>
      </w:tr>
      <w:tr w14:paraId="7B3FA8E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80" w:type="dxa"/>
            <w:left w:w="110" w:type="dxa"/>
            <w:bottom w:w="80" w:type="dxa"/>
            <w:right w:w="110" w:type="dxa"/>
          </w:tblCellMar>
        </w:tblPrEx>
        <w:trPr>
          <w:jc w:val="center"/>
        </w:trPr>
        <w:tc>
          <w:tcPr>
            <w:tcW w:w="3400" w:type="dxa"/>
            <w:vAlign w:val="top"/>
          </w:tcPr>
          <w:p w14:paraId="494B88E0">
            <w:r>
              <w:rPr>
                <w:b/>
              </w:rPr>
              <w:t>A1. Organisational actors:</w:t>
            </w:r>
            <w:r>
              <w:t xml:space="preserve"> Referring Organisation, Patient, Hospital, External Payment and Funding Providers</w:t>
            </w:r>
          </w:p>
        </w:tc>
        <w:tc>
          <w:tcPr>
            <w:tcW w:w="1700" w:type="dxa"/>
            <w:vAlign w:val="top"/>
          </w:tcPr>
          <w:p w14:paraId="44C9F900">
            <w:r>
              <w:t>Yes — fully covered</w:t>
            </w:r>
          </w:p>
        </w:tc>
        <w:tc>
          <w:tcPr>
            <w:tcW w:w="9400" w:type="dxa"/>
            <w:vAlign w:val="top"/>
          </w:tcPr>
          <w:p w14:paraId="2CFB07FB">
            <w:r>
              <w:t>SD models exactly the same four actors as the BPMN's four participants, one to one. SR decomposes each actor into goals, tasks and resources, so it answers who depends on whom, why each actor exists and what it has to achieve.</w:t>
            </w:r>
          </w:p>
        </w:tc>
      </w:tr>
      <w:tr w14:paraId="4A66B6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80" w:type="dxa"/>
            <w:left w:w="110" w:type="dxa"/>
            <w:bottom w:w="80" w:type="dxa"/>
            <w:right w:w="110" w:type="dxa"/>
          </w:tblCellMar>
        </w:tblPrEx>
        <w:trPr>
          <w:jc w:val="center"/>
        </w:trPr>
        <w:tc>
          <w:tcPr>
            <w:tcW w:w="3400" w:type="dxa"/>
            <w:vAlign w:val="top"/>
          </w:tcPr>
          <w:p w14:paraId="246C20C5">
            <w:r>
              <w:rPr>
                <w:b/>
              </w:rPr>
              <w:t>A2. Hospital internal roles:</w:t>
            </w:r>
            <w:r>
              <w:t xml:space="preserve"> Clinical Team; Administrative and Appointment Team; Finance and Funding Team; Hospital Patient Administration System</w:t>
            </w:r>
          </w:p>
        </w:tc>
        <w:tc>
          <w:tcPr>
            <w:tcW w:w="1700" w:type="dxa"/>
            <w:vAlign w:val="top"/>
          </w:tcPr>
          <w:p w14:paraId="043633B3">
            <w:r>
              <w:t>Partly — aggregated, not modelled as separate actors</w:t>
            </w:r>
          </w:p>
        </w:tc>
        <w:tc>
          <w:tcPr>
            <w:tcW w:w="9400" w:type="dxa"/>
            <w:vAlign w:val="top"/>
          </w:tcPr>
          <w:p w14:paraId="07FBC03A">
            <w:r>
              <w:t>iStar does not raise the four lanes to actors; they are folded into the Hospital's tasks and resources. Assess Referral and Coordinate Appointment correspond to the administrative lane; Assess Patient and Propose Treatment, Authorise Treatment, and Deliver Treatment and Follow-up to the clinical lane; Obtain Financial Clearance to finance; Patient Pathway Record to the system. Strategic intent is preserved, but role-level division of labour is less explicit than in the BPMN lanes.</w:t>
            </w:r>
          </w:p>
        </w:tc>
      </w:tr>
      <w:tr w14:paraId="7461603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80" w:type="dxa"/>
            <w:left w:w="110" w:type="dxa"/>
            <w:bottom w:w="80" w:type="dxa"/>
            <w:right w:w="110" w:type="dxa"/>
          </w:tblCellMar>
        </w:tblPrEx>
        <w:trPr>
          <w:jc w:val="center"/>
        </w:trPr>
        <w:tc>
          <w:tcPr>
            <w:tcW w:w="3400" w:type="dxa"/>
            <w:vAlign w:val="top"/>
          </w:tcPr>
          <w:p w14:paraId="72C980AC">
            <w:r>
              <w:rPr>
                <w:b/>
              </w:rPr>
              <w:t>A3. External Service Providers:</w:t>
            </w:r>
            <w:r>
              <w:t xml:space="preserve"> scheduling, correspondence, laboratory, imaging, treatment and payment services</w:t>
            </w:r>
          </w:p>
        </w:tc>
        <w:tc>
          <w:tcPr>
            <w:tcW w:w="1700" w:type="dxa"/>
            <w:vAlign w:val="top"/>
          </w:tcPr>
          <w:p w14:paraId="30DE35C0">
            <w:r>
              <w:t>No — not modelled</w:t>
            </w:r>
          </w:p>
        </w:tc>
        <w:tc>
          <w:tcPr>
            <w:tcW w:w="9400" w:type="dxa"/>
            <w:vAlign w:val="top"/>
          </w:tcPr>
          <w:p w14:paraId="619716FF">
            <w:r>
              <w:t>The BPMN contains only an External Payment and Funding Providers pool, mirrored by an identically named SD/SR actor that covers payment and funding alone. The laboratory, imaging and scheduling providers listed in the brief are absent from both the BPMN and the iStar models, so this is a shared gap rather than a difference between the two views.</w:t>
            </w:r>
          </w:p>
        </w:tc>
      </w:tr>
      <w:tr w14:paraId="11E62DC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80" w:type="dxa"/>
            <w:left w:w="110" w:type="dxa"/>
            <w:bottom w:w="80" w:type="dxa"/>
            <w:right w:w="110" w:type="dxa"/>
          </w:tblCellMar>
        </w:tblPrEx>
        <w:trPr>
          <w:jc w:val="center"/>
        </w:trPr>
        <w:tc>
          <w:tcPr>
            <w:tcW w:w="3400" w:type="dxa"/>
            <w:vAlign w:val="top"/>
          </w:tcPr>
          <w:p w14:paraId="3AD8E60B">
            <w:r>
              <w:rPr>
                <w:b/>
              </w:rPr>
              <w:t>A4. Overall judgement</w:t>
            </w:r>
          </w:p>
        </w:tc>
        <w:tc>
          <w:tcPr>
            <w:tcW w:w="1700" w:type="dxa"/>
            <w:vAlign w:val="top"/>
          </w:tcPr>
          <w:p w14:paraId="2893860F">
            <w:r>
              <w:t>Partly</w:t>
            </w:r>
          </w:p>
        </w:tc>
        <w:tc>
          <w:tcPr>
            <w:tcW w:w="9400" w:type="dxa"/>
            <w:vAlign w:val="top"/>
          </w:tcPr>
          <w:p w14:paraId="7A4A0281">
            <w:r>
              <w:t>At the strategic level (dependencies, goals, rationale) SD/SR explain the BPMN stakeholders well. At the operational level (roles and lanes) there is no one-to-one mapping. Reaching the 7 stakeholder classes in the brief would require promoting the Hospital's internal roles to sub-actors and adding the External Service Providers.</w:t>
            </w:r>
          </w:p>
        </w:tc>
      </w:tr>
    </w:tbl>
    <w:p w14:paraId="300F2F68">
      <w:pPr>
        <w:keepNext/>
        <w:keepLines/>
        <w:spacing w:before="100" w:beforeAutospacing="1" w:after="100" w:afterAutospacing="1"/>
        <w:outlineLvl w:val="1"/>
        <w:rPr>
          <w:sz w:val="32"/>
          <w:szCs w:val="32"/>
        </w:rPr>
      </w:pPr>
      <w:r>
        <w:rPr>
          <w:b/>
          <w:sz w:val="32"/>
        </w:rPr>
        <w:t>Part B — Expected baseline vs. current implementation</w:t>
      </w:r>
    </w:p>
    <w:tbl>
      <w:tblPr>
        <w:tblStyle w:val="2"/>
        <w:tblW w:w="14500"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80" w:type="dxa"/>
          <w:left w:w="110" w:type="dxa"/>
          <w:bottom w:w="80" w:type="dxa"/>
          <w:right w:w="110" w:type="dxa"/>
        </w:tblCellMar>
      </w:tblPr>
      <w:tblGrid>
        <w:gridCol w:w="3200"/>
        <w:gridCol w:w="4700"/>
        <w:gridCol w:w="6600"/>
      </w:tblGrid>
      <w:tr w14:paraId="5F81B9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80" w:type="dxa"/>
            <w:left w:w="110" w:type="dxa"/>
            <w:bottom w:w="80" w:type="dxa"/>
            <w:right w:w="110" w:type="dxa"/>
          </w:tblCellMar>
        </w:tblPrEx>
        <w:trPr>
          <w:tblHeader/>
          <w:jc w:val="center"/>
        </w:trPr>
        <w:tc>
          <w:tcPr>
            <w:tcW w:w="3200" w:type="dxa"/>
            <w:vAlign w:val="top"/>
          </w:tcPr>
          <w:p w14:paraId="48D8418B">
            <w:pPr>
              <w:rPr>
                <w:b/>
                <w:bCs/>
              </w:rPr>
            </w:pPr>
            <w:r>
              <w:rPr>
                <w:b/>
              </w:rPr>
              <w:t>Dimension (expected)</w:t>
            </w:r>
          </w:p>
        </w:tc>
        <w:tc>
          <w:tcPr>
            <w:tcW w:w="4700" w:type="dxa"/>
            <w:vAlign w:val="top"/>
          </w:tcPr>
          <w:p w14:paraId="2224529E">
            <w:pPr>
              <w:rPr>
                <w:b/>
                <w:bCs/>
              </w:rPr>
            </w:pPr>
            <w:r>
              <w:rPr>
                <w:b/>
              </w:rPr>
              <w:t>Current implementation</w:t>
            </w:r>
          </w:p>
        </w:tc>
        <w:tc>
          <w:tcPr>
            <w:tcW w:w="6600" w:type="dxa"/>
            <w:vAlign w:val="top"/>
          </w:tcPr>
          <w:p w14:paraId="0D1FA250">
            <w:pPr>
              <w:rPr>
                <w:b/>
                <w:bCs/>
              </w:rPr>
            </w:pPr>
            <w:r>
              <w:rPr>
                <w:b/>
              </w:rPr>
              <w:t>Difference from the expectation</w:t>
            </w:r>
          </w:p>
        </w:tc>
      </w:tr>
      <w:tr w14:paraId="3F1CCC0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80" w:type="dxa"/>
            <w:left w:w="110" w:type="dxa"/>
            <w:bottom w:w="80" w:type="dxa"/>
            <w:right w:w="110" w:type="dxa"/>
          </w:tblCellMar>
        </w:tblPrEx>
        <w:trPr>
          <w:jc w:val="center"/>
        </w:trPr>
        <w:tc>
          <w:tcPr>
            <w:tcW w:w="3200" w:type="dxa"/>
            <w:vAlign w:val="top"/>
          </w:tcPr>
          <w:p w14:paraId="4CFA1067">
            <w:r>
              <w:rPr>
                <w:b/>
              </w:rPr>
              <w:t>B1. End-to-end business goal:</w:t>
            </w:r>
            <w:r>
              <w:t xml:space="preserve"> referral → treatment</w:t>
            </w:r>
          </w:p>
        </w:tc>
        <w:tc>
          <w:tcPr>
            <w:tcW w:w="4700" w:type="dxa"/>
            <w:vAlign w:val="top"/>
          </w:tcPr>
          <w:p w14:paraId="77811698">
            <w:r>
              <w:t>BPMN covers the full chain: referral → appointment → consultation → consent → payment and funding → treatment → clinic letter and follow-up</w:t>
            </w:r>
          </w:p>
        </w:tc>
        <w:tc>
          <w:tcPr>
            <w:tcW w:w="6600" w:type="dxa"/>
            <w:vAlign w:val="top"/>
          </w:tcPr>
          <w:p w14:paraId="272D538F">
            <w:r>
              <w:rPr>
                <w:b/>
              </w:rPr>
              <w:t>Largely met, but the loop is not closed.</w:t>
            </w:r>
            <w:r>
              <w:t xml:space="preserve"> Only the modelling part of the lifecycle is done; there is no Analyse step (quantified bottlenecks and risks) and no Monitor step (KPIs).</w:t>
            </w:r>
          </w:p>
        </w:tc>
      </w:tr>
      <w:tr w14:paraId="24D460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80" w:type="dxa"/>
            <w:left w:w="110" w:type="dxa"/>
            <w:bottom w:w="80" w:type="dxa"/>
            <w:right w:w="110" w:type="dxa"/>
          </w:tblCellMar>
        </w:tblPrEx>
        <w:trPr>
          <w:jc w:val="center"/>
        </w:trPr>
        <w:tc>
          <w:tcPr>
            <w:tcW w:w="3200" w:type="dxa"/>
            <w:vAlign w:val="top"/>
          </w:tcPr>
          <w:p w14:paraId="0E2C7D4B">
            <w:r>
              <w:rPr>
                <w:b/>
              </w:rPr>
              <w:t>B2. Stakeholder granularity:</w:t>
            </w:r>
            <w:r>
              <w:t xml:space="preserve"> 7 classes</w:t>
            </w:r>
          </w:p>
        </w:tc>
        <w:tc>
          <w:tcPr>
            <w:tcW w:w="4700" w:type="dxa"/>
            <w:vAlign w:val="top"/>
          </w:tcPr>
          <w:p w14:paraId="78259C5B">
            <w:r>
              <w:t>4 top-level pools in the BPMN; 5 lanes inside the Hospital pool; 4 actors in SD/SR</w:t>
            </w:r>
          </w:p>
        </w:tc>
        <w:tc>
          <w:tcPr>
            <w:tcW w:w="6600" w:type="dxa"/>
            <w:vAlign w:val="top"/>
          </w:tcPr>
          <w:p w14:paraId="5C7EC05F">
            <w:r>
              <w:rPr>
                <w:b/>
              </w:rPr>
              <w:t>Coarser than expected, with a gap.</w:t>
            </w:r>
            <w:r>
              <w:t xml:space="preserve"> The lanes cover clinical, administrative, finance and system roles, but the External Service Providers are missing; SD/SR are coarser still.</w:t>
            </w:r>
          </w:p>
        </w:tc>
      </w:tr>
      <w:tr w14:paraId="1F26B13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80" w:type="dxa"/>
            <w:left w:w="110" w:type="dxa"/>
            <w:bottom w:w="80" w:type="dxa"/>
            <w:right w:w="110" w:type="dxa"/>
          </w:tblCellMar>
        </w:tblPrEx>
        <w:trPr>
          <w:jc w:val="center"/>
        </w:trPr>
        <w:tc>
          <w:tcPr>
            <w:tcW w:w="3200" w:type="dxa"/>
            <w:vAlign w:val="top"/>
          </w:tcPr>
          <w:p w14:paraId="5D38053D">
            <w:r>
              <w:rPr>
                <w:b/>
              </w:rPr>
              <w:t>B3. BPM lifecycle:</w:t>
            </w:r>
            <w:r>
              <w:t xml:space="preserve"> Identify → Discover → Analyse → Redesign → Monitor</w:t>
            </w:r>
          </w:p>
        </w:tc>
        <w:tc>
          <w:tcPr>
            <w:tcW w:w="4700" w:type="dxa"/>
            <w:vAlign w:val="top"/>
          </w:tcPr>
          <w:p w14:paraId="197C9035">
            <w:r>
              <w:t>BPMN is an AS-IS / TO-BE process model; SD and SR are strategic analyses</w:t>
            </w:r>
          </w:p>
        </w:tc>
        <w:tc>
          <w:tcPr>
            <w:tcW w:w="6600" w:type="dxa"/>
            <w:vAlign w:val="top"/>
          </w:tcPr>
          <w:p w14:paraId="1B7831C5">
            <w:r>
              <w:rPr>
                <w:b/>
              </w:rPr>
              <w:t>Only Discover is complete and Redesign is partial.</w:t>
            </w:r>
            <w:r>
              <w:t xml:space="preserve"> Analyse (bottleneck and risk quantification) and Monitor (KPI tracking) are absent, so the methodological loop is unfinished.</w:t>
            </w:r>
          </w:p>
        </w:tc>
      </w:tr>
      <w:tr w14:paraId="1752DD9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80" w:type="dxa"/>
            <w:left w:w="110" w:type="dxa"/>
            <w:bottom w:w="80" w:type="dxa"/>
            <w:right w:w="110" w:type="dxa"/>
          </w:tblCellMar>
        </w:tblPrEx>
        <w:trPr>
          <w:jc w:val="center"/>
        </w:trPr>
        <w:tc>
          <w:tcPr>
            <w:tcW w:w="3200" w:type="dxa"/>
            <w:vAlign w:val="top"/>
          </w:tcPr>
          <w:p w14:paraId="2DCE5B95">
            <w:r>
              <w:rPr>
                <w:b/>
              </w:rPr>
              <w:t>B4. Dependency analysis</w:t>
            </w:r>
          </w:p>
        </w:tc>
        <w:tc>
          <w:tcPr>
            <w:tcW w:w="4700" w:type="dxa"/>
            <w:vAlign w:val="top"/>
          </w:tcPr>
          <w:p w14:paraId="0A1EFA6B">
            <w:r>
              <w:t>BPMN uses message flows; SD uses strategic dependencies (dependums); the brief provides a dependency table (dependent process / required earlier process / reason)</w:t>
            </w:r>
          </w:p>
        </w:tc>
        <w:tc>
          <w:tcPr>
            <w:tcW w:w="6600" w:type="dxa"/>
            <w:vAlign w:val="top"/>
          </w:tcPr>
          <w:p w14:paraId="58CA9433">
            <w:r>
              <w:rPr>
                <w:b/>
              </w:rPr>
              <w:t>Consistent, expressed differently.</w:t>
            </w:r>
            <w:r>
              <w:t xml:space="preserve"> SD states "who depends on whom, and why" most directly; the BPMN shows the same dependencies as message exchanges.</w:t>
            </w:r>
          </w:p>
        </w:tc>
      </w:tr>
      <w:tr w14:paraId="704C03C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80" w:type="dxa"/>
            <w:left w:w="110" w:type="dxa"/>
            <w:bottom w:w="80" w:type="dxa"/>
            <w:right w:w="110" w:type="dxa"/>
          </w:tblCellMar>
        </w:tblPrEx>
        <w:trPr>
          <w:jc w:val="center"/>
        </w:trPr>
        <w:tc>
          <w:tcPr>
            <w:tcW w:w="3200" w:type="dxa"/>
            <w:vAlign w:val="top"/>
          </w:tcPr>
          <w:p w14:paraId="1807761C">
            <w:r>
              <w:rPr>
                <w:b/>
              </w:rPr>
              <w:t>B5. Exception and branch handling</w:t>
            </w:r>
          </w:p>
        </w:tc>
        <w:tc>
          <w:tcPr>
            <w:tcW w:w="4700" w:type="dxa"/>
            <w:vAlign w:val="top"/>
          </w:tcPr>
          <w:p w14:paraId="0078491B">
            <w:r>
              <w:t>BPMN defines additional end events: information sent, pathway updated, referral closed, change requested, appointment cancelled, treatment refused</w:t>
            </w:r>
          </w:p>
        </w:tc>
        <w:tc>
          <w:tcPr>
            <w:tcW w:w="6600" w:type="dxa"/>
            <w:vAlign w:val="top"/>
          </w:tcPr>
          <w:p w14:paraId="42F69038">
            <w:r>
              <w:rPr>
                <w:b/>
              </w:rPr>
              <w:t>Beyond the expectation.</w:t>
            </w:r>
            <w:r>
              <w:t xml:space="preserve"> The brief describes the main path only, whereas the model also covers cancellation, refusal and change, so the current state is richer here than required.</w:t>
            </w:r>
          </w:p>
        </w:tc>
      </w:tr>
      <w:tr w14:paraId="2F2C098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80" w:type="dxa"/>
            <w:left w:w="110" w:type="dxa"/>
            <w:bottom w:w="80" w:type="dxa"/>
            <w:right w:w="110" w:type="dxa"/>
          </w:tblCellMar>
        </w:tblPrEx>
        <w:trPr>
          <w:jc w:val="center"/>
        </w:trPr>
        <w:tc>
          <w:tcPr>
            <w:tcW w:w="3200" w:type="dxa"/>
            <w:vAlign w:val="top"/>
          </w:tcPr>
          <w:p w14:paraId="4B132752">
            <w:r>
              <w:rPr>
                <w:b/>
              </w:rPr>
              <w:t>B6. System actor:</w:t>
            </w:r>
            <w:r>
              <w:t xml:space="preserve"> Hospital Patient Administration System</w:t>
            </w:r>
          </w:p>
        </w:tc>
        <w:tc>
          <w:tcPr>
            <w:tcW w:w="4700" w:type="dxa"/>
            <w:vAlign w:val="top"/>
          </w:tcPr>
          <w:p w14:paraId="312525E1">
            <w:r>
              <w:t>BPMN has a lane of the same name; SR represents it as the resource "Patient Pathway Record"</w:t>
            </w:r>
          </w:p>
        </w:tc>
        <w:tc>
          <w:tcPr>
            <w:tcW w:w="6600" w:type="dxa"/>
            <w:vAlign w:val="top"/>
          </w:tcPr>
          <w:p w14:paraId="2F2D34E1">
            <w:r>
              <w:rPr>
                <w:b/>
              </w:rPr>
              <w:t>Consistent.</w:t>
            </w:r>
            <w:r>
              <w:t xml:space="preserve"> All three artefacts treat the system as a stakeholder in the same way.</w:t>
            </w:r>
          </w:p>
        </w:tc>
      </w:tr>
    </w:tbl>
    <w:p w14:paraId="18E65202"/>
    <w:sectPr>
      <w:pgSz w:w="16840" w:h="11900" w:orient="landscape"/>
      <w:pgMar w:top="1140" w:right="1140" w:bottom="1140" w:left="11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420"/>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E3222C"/>
    <w:rsid w:val="34807B44"/>
    <w:rsid w:val="6D8E3471"/>
    <w:rsid w:val="7AAF67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702</Words>
  <Characters>3922</Characters>
  <TotalTime>2</TotalTime>
  <ScaleCrop>false</ScaleCrop>
  <LinksUpToDate>false</LinksUpToDate>
  <CharactersWithSpaces>4580</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2026-10-20T15:18:00Z</dcterms:created>
  <dc:creator>HUAWEI</dc:creator>
  <cp:lastModifiedBy>YAO</cp:lastModifiedBy>
  <dcterms:modified xsi:type="dcterms:W3CDTF">2026-10-20T12:00:20Z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eyJoZGlkIjoiMzEwNTM5NzYwMDRjMzkwZTVkZjY2ODkwMGIxNGU0OTUiLCJ1c2VySWQiOiI4NjU4NDE0MDMifQ==</vt:lpwstr>
  </property>
  <property fmtid="{D5CDD505-2E9C-101B-9397-08002B2CF9AE}" pid="3" name="KSOProductBuildVer">
    <vt:lpwstr>2052-12.1.0.29161</vt:lpwstr>
  </property>
  <property fmtid="{D5CDD505-2E9C-101B-9397-08002B2CF9AE}" pid="4" name="ICV">
    <vt:lpwstr>074B8094ED7B47528D9EB475AD009631_13</vt:lpwstr>
  </property>
</Properties>
</file>