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24C6" w14:textId="77777777" w:rsidR="001E3D44" w:rsidRDefault="00000000">
      <w:pPr>
        <w:pStyle w:val="a8"/>
      </w:pPr>
      <w:r>
        <w:rPr>
          <w:rFonts w:hint="eastAsia"/>
        </w:rPr>
        <w:t>Response to Feedback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17"/>
        <w:gridCol w:w="1054"/>
        <w:gridCol w:w="1142"/>
        <w:gridCol w:w="1624"/>
        <w:gridCol w:w="2377"/>
        <w:gridCol w:w="1057"/>
        <w:gridCol w:w="1285"/>
      </w:tblGrid>
      <w:tr w:rsidR="001E3D44" w:rsidRPr="00264E8E" w14:paraId="02308B8A" w14:textId="77777777" w:rsidTr="001E3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7719C227" w14:textId="77777777" w:rsidR="001E3D44" w:rsidRPr="00264E8E" w:rsidRDefault="00000000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8"/>
              </w:rPr>
              <w:t>#</w:t>
            </w:r>
          </w:p>
        </w:tc>
        <w:tc>
          <w:tcPr>
            <w:tcW w:w="2304" w:type="dxa"/>
          </w:tcPr>
          <w:p w14:paraId="323A46AF" w14:textId="77777777" w:rsidR="001E3D44" w:rsidRPr="00264E8E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8"/>
              </w:rPr>
              <w:t>Feedback Point</w:t>
            </w:r>
          </w:p>
        </w:tc>
        <w:tc>
          <w:tcPr>
            <w:tcW w:w="2160" w:type="dxa"/>
          </w:tcPr>
          <w:p w14:paraId="00B66C70" w14:textId="77777777" w:rsidR="001E3D44" w:rsidRPr="00264E8E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8"/>
              </w:rPr>
              <w:t>Decision</w:t>
            </w:r>
          </w:p>
        </w:tc>
        <w:tc>
          <w:tcPr>
            <w:tcW w:w="2304" w:type="dxa"/>
          </w:tcPr>
          <w:p w14:paraId="716AB563" w14:textId="77777777" w:rsidR="001E3D44" w:rsidRPr="00264E8E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8"/>
              </w:rPr>
              <w:t>Action Taken</w:t>
            </w:r>
          </w:p>
        </w:tc>
        <w:tc>
          <w:tcPr>
            <w:tcW w:w="3456" w:type="dxa"/>
          </w:tcPr>
          <w:p w14:paraId="25BD99B8" w14:textId="77777777" w:rsidR="001E3D44" w:rsidRPr="00264E8E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8"/>
              </w:rPr>
              <w:t>Implementation Evidence</w:t>
            </w:r>
          </w:p>
        </w:tc>
        <w:tc>
          <w:tcPr>
            <w:tcW w:w="1008" w:type="dxa"/>
          </w:tcPr>
          <w:p w14:paraId="75BEE582" w14:textId="77777777" w:rsidR="001E3D44" w:rsidRPr="00264E8E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8"/>
              </w:rPr>
              <w:t>Outcome</w:t>
            </w:r>
          </w:p>
        </w:tc>
        <w:tc>
          <w:tcPr>
            <w:tcW w:w="2448" w:type="dxa"/>
          </w:tcPr>
          <w:p w14:paraId="377798E0" w14:textId="77777777" w:rsidR="001E3D44" w:rsidRPr="00264E8E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8"/>
              </w:rPr>
              <w:t>Traceability (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8"/>
              </w:rPr>
              <w:t>i</w:t>
            </w:r>
            <w:proofErr w:type="spellEnd"/>
            <w:r w:rsidRPr="00264E8E">
              <w:rPr>
                <w:rFonts w:ascii="微软雅黑" w:eastAsia="微软雅黑" w:hAnsi="微软雅黑" w:hint="eastAsia"/>
                <w:sz w:val="18"/>
              </w:rPr>
              <w:t>* / BPMN)</w:t>
            </w:r>
          </w:p>
        </w:tc>
      </w:tr>
      <w:tr w:rsidR="001E3D44" w:rsidRPr="00264E8E" w14:paraId="6DB3D011" w14:textId="77777777" w:rsidTr="001E3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1B65EF86" w14:textId="77777777" w:rsidR="001E3D44" w:rsidRPr="00264E8E" w:rsidRDefault="00000000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1</w:t>
            </w:r>
          </w:p>
        </w:tc>
        <w:tc>
          <w:tcPr>
            <w:tcW w:w="2304" w:type="dxa"/>
          </w:tcPr>
          <w:p w14:paraId="30A2989D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Implement role-based access control</w:t>
            </w:r>
          </w:p>
        </w:tc>
        <w:tc>
          <w:tcPr>
            <w:tcW w:w="2160" w:type="dxa"/>
          </w:tcPr>
          <w:p w14:paraId="68C57A9A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Accepted. Set permissions for the four parties (roles): Referring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Organisation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/ Hospital / Patient / External Payment &amp; Funding Providers; after login, each party can only access the functions assigned to it.</w:t>
            </w:r>
          </w:p>
        </w:tc>
        <w:tc>
          <w:tcPr>
            <w:tcW w:w="2304" w:type="dxa"/>
          </w:tcPr>
          <w:p w14:paraId="7AFD4F4B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Added role-based login and permission checks: different parties (Referring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Organisation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>, Hospital, Patient, External Payment &amp; Funding Providers) can only view and operate the functions and data within their own scope after logging in.</w:t>
            </w:r>
          </w:p>
        </w:tc>
        <w:tc>
          <w:tcPr>
            <w:tcW w:w="3456" w:type="dxa"/>
          </w:tcPr>
          <w:p w14:paraId="62D7D8EB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Role-based isolation in Camunda Operate: Referring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Organisation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/ Hospital / Patient each have independent Process Definitions and Process Instances (see screenshots E-10, E-AT-02, E-AT-08). BPMN v4 also reflects role separation through 4 pools and 4 lanes inside the Hospital.</w:t>
            </w:r>
          </w:p>
        </w:tc>
        <w:tc>
          <w:tcPr>
            <w:tcW w:w="1008" w:type="dxa"/>
          </w:tcPr>
          <w:p w14:paraId="0DA9A623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Completed</w:t>
            </w:r>
          </w:p>
        </w:tc>
        <w:tc>
          <w:tcPr>
            <w:tcW w:w="2448" w:type="dxa"/>
          </w:tcPr>
          <w:p w14:paraId="40573C5F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In the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i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* SD, the Consent Decision dependency Hospital→(Goal)→Patient; each Actor (party) boundary is the role boundary. The 4 BPMN pools = 4 role types (Referring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Organisation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/ Hospital / Patient / External Payment &amp; Funding Providers).</w:t>
            </w:r>
          </w:p>
        </w:tc>
      </w:tr>
      <w:tr w:rsidR="001E3D44" w:rsidRPr="00264E8E" w14:paraId="081088AB" w14:textId="77777777" w:rsidTr="001E3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264207ED" w14:textId="77777777" w:rsidR="001E3D44" w:rsidRPr="00264E8E" w:rsidRDefault="00000000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2</w:t>
            </w:r>
          </w:p>
        </w:tc>
        <w:tc>
          <w:tcPr>
            <w:tcW w:w="2304" w:type="dxa"/>
          </w:tcPr>
          <w:p w14:paraId="4E36CA5E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Strengthen form validation to prevent missing or invalid inputs</w:t>
            </w:r>
          </w:p>
        </w:tc>
        <w:tc>
          <w:tcPr>
            <w:tcW w:w="2160" w:type="dxa"/>
          </w:tcPr>
          <w:p w14:paraId="26FE45A0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Accepted. Added required-field and format validation to the referral, payment, and appointment forms.</w:t>
            </w:r>
          </w:p>
        </w:tc>
        <w:tc>
          <w:tcPr>
            <w:tcW w:w="2304" w:type="dxa"/>
          </w:tcPr>
          <w:p w14:paraId="03C1DDED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Added required-field and format validation to the referral / payment / appointment forms; when referral information is incomplete, the "incomplete information" loop is triggered, requiring completion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before the process can continue.</w:t>
            </w:r>
          </w:p>
        </w:tc>
        <w:tc>
          <w:tcPr>
            <w:tcW w:w="3456" w:type="dxa"/>
          </w:tcPr>
          <w:p w14:paraId="3F6B758F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No validation failures were recorded during testing; all required-field and format rules worked as expected. In BPMN v4 this corresponds to Enter Referral Details / Check Referral Documents / Recheck Referral Documents and the incomplete-information loop.</w:t>
            </w:r>
          </w:p>
        </w:tc>
        <w:tc>
          <w:tcPr>
            <w:tcW w:w="1008" w:type="dxa"/>
          </w:tcPr>
          <w:p w14:paraId="1889CC16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No failures occurred; all form validations passed.</w:t>
            </w:r>
          </w:p>
        </w:tc>
        <w:tc>
          <w:tcPr>
            <w:tcW w:w="2448" w:type="dxa"/>
          </w:tcPr>
          <w:p w14:paraId="7967395C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In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i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*, Needed-By: </w:t>
            </w:r>
            <w:proofErr w:type="gramStart"/>
            <w:r w:rsidRPr="00264E8E">
              <w:rPr>
                <w:rFonts w:ascii="微软雅黑" w:eastAsia="微软雅黑" w:hAnsi="微软雅黑" w:hint="eastAsia"/>
                <w:sz w:val="17"/>
              </w:rPr>
              <w:t>the</w:t>
            </w:r>
            <w:proofErr w:type="gram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Resource "Referral and Clinical Information" is required by the Submit Referral task (information must be complete).</w:t>
            </w:r>
          </w:p>
        </w:tc>
      </w:tr>
      <w:tr w:rsidR="001E3D44" w:rsidRPr="00264E8E" w14:paraId="4AD7C6C6" w14:textId="77777777" w:rsidTr="001E3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7D57C08A" w14:textId="77777777" w:rsidR="001E3D44" w:rsidRPr="00264E8E" w:rsidRDefault="00000000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3</w:t>
            </w:r>
          </w:p>
        </w:tc>
        <w:tc>
          <w:tcPr>
            <w:tcW w:w="2304" w:type="dxa"/>
          </w:tcPr>
          <w:p w14:paraId="2A8265B8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Implement the required business logic in service workers</w:t>
            </w:r>
          </w:p>
        </w:tc>
        <w:tc>
          <w:tcPr>
            <w:tcW w:w="2160" w:type="dxa"/>
          </w:tcPr>
          <w:p w14:paraId="678519C9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Accepted. Pushed the business logic down into service tasks (workflow service tasks) for execution.</w:t>
            </w:r>
          </w:p>
        </w:tc>
        <w:tc>
          <w:tcPr>
            <w:tcW w:w="2304" w:type="dxa"/>
          </w:tcPr>
          <w:p w14:paraId="783B1AF8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Implemented and wired up 3 service tasks that handle business logic such as record creation, clinical decision recording, and treatment result storage; all processes are marked as executable (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isExecutable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>=true).</w:t>
            </w:r>
          </w:p>
        </w:tc>
        <w:tc>
          <w:tcPr>
            <w:tcW w:w="3456" w:type="dxa"/>
          </w:tcPr>
          <w:p w14:paraId="0E868BF7" w14:textId="25AE2DDE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Service Task execution log (E-AT-16): Create Referral Record, Record Clinical Decision, and Store Treatment Results all executed successfully in the process engine. In BPMN v4, all 3 service</w:t>
            </w:r>
            <w:r w:rsidR="0000113F">
              <w:rPr>
                <w:rFonts w:ascii="微软雅黑" w:eastAsia="微软雅黑" w:hAnsi="微软雅黑" w:hint="eastAsia"/>
                <w:sz w:val="17"/>
                <w:lang w:eastAsia="zh-CN"/>
              </w:rPr>
              <w:t xml:space="preserve">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t>Tasks are marked is</w:t>
            </w:r>
            <w:r w:rsidR="0000113F">
              <w:rPr>
                <w:rFonts w:ascii="微软雅黑" w:eastAsia="微软雅黑" w:hAnsi="微软雅黑" w:hint="eastAsia"/>
                <w:sz w:val="17"/>
                <w:lang w:eastAsia="zh-CN"/>
              </w:rPr>
              <w:t xml:space="preserve">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t>Executable="true".</w:t>
            </w:r>
          </w:p>
        </w:tc>
        <w:tc>
          <w:tcPr>
            <w:tcW w:w="1008" w:type="dxa"/>
          </w:tcPr>
          <w:p w14:paraId="5AB43D8C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Completed</w:t>
            </w:r>
          </w:p>
        </w:tc>
        <w:tc>
          <w:tcPr>
            <w:tcW w:w="2448" w:type="dxa"/>
          </w:tcPr>
          <w:p w14:paraId="4FAA1440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In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i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>*, the External actor's Task 'Process Payment or Funding Request', and several internal Hospital Tasks, correspond to the service tasks.</w:t>
            </w:r>
          </w:p>
        </w:tc>
      </w:tr>
      <w:tr w:rsidR="001E3D44" w:rsidRPr="00264E8E" w14:paraId="10AEBBF6" w14:textId="77777777" w:rsidTr="001E3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52F16681" w14:textId="77777777" w:rsidR="001E3D44" w:rsidRPr="00264E8E" w:rsidRDefault="00000000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4</w:t>
            </w:r>
          </w:p>
        </w:tc>
        <w:tc>
          <w:tcPr>
            <w:tcW w:w="2304" w:type="dxa"/>
          </w:tcPr>
          <w:p w14:paraId="11F65522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Use merging gateways where appropriate to bring process paths together</w:t>
            </w:r>
          </w:p>
        </w:tc>
        <w:tc>
          <w:tcPr>
            <w:tcW w:w="2160" w:type="dxa"/>
          </w:tcPr>
          <w:p w14:paraId="322CACE7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Accepted. Added merging gateways (merge gateways) to the diverging process paths.</w:t>
            </w:r>
          </w:p>
        </w:tc>
        <w:tc>
          <w:tcPr>
            <w:tcW w:w="2304" w:type="dxa"/>
          </w:tcPr>
          <w:p w14:paraId="76F1F28E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Used parallel / inclusive / exclusive gateways in the process for branching and merging; for example, "treatment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authorisation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>" and "financial preparation" start in parallel and merge before treatment is delivered.</w:t>
            </w:r>
          </w:p>
        </w:tc>
        <w:tc>
          <w:tcPr>
            <w:tcW w:w="3456" w:type="dxa"/>
          </w:tcPr>
          <w:p w14:paraId="3AF32D38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BPMN v4 uses 8 gateways in total: 6 </w:t>
            </w:r>
            <w:proofErr w:type="gramStart"/>
            <w:r w:rsidRPr="00264E8E">
              <w:rPr>
                <w:rFonts w:ascii="微软雅黑" w:eastAsia="微软雅黑" w:hAnsi="微软雅黑" w:hint="eastAsia"/>
                <w:sz w:val="17"/>
              </w:rPr>
              <w:t>exclusive</w:t>
            </w:r>
            <w:proofErr w:type="gram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(Appointment Confirmed? / Patient Consent Decision? / Clinical Referral Decision? / Treatment Review Outcome? / Referral Complete? / Consultation Outcome?), 1 inclusive (Which Financial Actions Are Required?), and 1 parallel (Start Treatment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Authorisation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and Financial Preparation), used for branching and merging of paths.</w:t>
            </w:r>
          </w:p>
        </w:tc>
        <w:tc>
          <w:tcPr>
            <w:tcW w:w="1008" w:type="dxa"/>
          </w:tcPr>
          <w:p w14:paraId="1E1A8C19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>Completed</w:t>
            </w:r>
          </w:p>
        </w:tc>
        <w:tc>
          <w:tcPr>
            <w:tcW w:w="2448" w:type="dxa"/>
          </w:tcPr>
          <w:p w14:paraId="7B7D4AE2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Operational BPMN improvement; reflects the AND/OR decomposition in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i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>* at the process layer (parallel = AND, branch = OR).</w:t>
            </w:r>
          </w:p>
        </w:tc>
      </w:tr>
      <w:tr w:rsidR="001E3D44" w:rsidRPr="00264E8E" w14:paraId="77F5F97E" w14:textId="77777777" w:rsidTr="001E3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1A6D8996" w14:textId="77777777" w:rsidR="001E3D44" w:rsidRPr="00264E8E" w:rsidRDefault="00000000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5</w:t>
            </w:r>
          </w:p>
        </w:tc>
        <w:tc>
          <w:tcPr>
            <w:tcW w:w="2304" w:type="dxa"/>
          </w:tcPr>
          <w:p w14:paraId="77440253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/>
                <w:sz w:val="17"/>
              </w:rPr>
              <w:t>Implement data persistence to store and retrieve application data</w:t>
            </w:r>
          </w:p>
        </w:tc>
        <w:tc>
          <w:tcPr>
            <w:tcW w:w="2160" w:type="dxa"/>
          </w:tcPr>
          <w:p w14:paraId="071A2B42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Accepted. Introduced a data store to persist referral, treatment result, financial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settlement, and clinic letter data.</w:t>
            </w:r>
          </w:p>
        </w:tc>
        <w:tc>
          <w:tcPr>
            <w:tcW w:w="2304" w:type="dxa"/>
          </w:tcPr>
          <w:p w14:paraId="11FA3542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 xml:space="preserve">Added data storage and persistence logic covering referral records, treatment results, financial settlements, clinic letters, etc.,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supporting writes and subsequent reads.</w:t>
            </w:r>
          </w:p>
        </w:tc>
        <w:tc>
          <w:tcPr>
            <w:tcW w:w="3456" w:type="dxa"/>
          </w:tcPr>
          <w:p w14:paraId="46D9D3E2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BPMN v4 defines the data store "Patient Pathway Data Store" (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dataStoreReference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DataStoreRef_PatientPathway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) and 4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dataObjects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(Treatment Results / Clinic Letter / Referral and Clinical Information /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 xml:space="preserve">Financial Clearance), and implements writes via the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serviceTasks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 Store Treatment Results / Create Referral Record. Runtime persistence is guaranteed by the Camunda engine data store mechanism (design-level evidence above; runtime entry/query screenshots are still to be provided).</w:t>
            </w:r>
          </w:p>
        </w:tc>
        <w:tc>
          <w:tcPr>
            <w:tcW w:w="1008" w:type="dxa"/>
          </w:tcPr>
          <w:p w14:paraId="2DA253B4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Completed (design level; runtime screenshots pending)</w:t>
            </w:r>
          </w:p>
        </w:tc>
        <w:tc>
          <w:tcPr>
            <w:tcW w:w="2448" w:type="dxa"/>
          </w:tcPr>
          <w:p w14:paraId="4771E89F" w14:textId="77777777" w:rsidR="001E3D44" w:rsidRPr="00264E8E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264E8E">
              <w:rPr>
                <w:rFonts w:ascii="微软雅黑" w:eastAsia="微软雅黑" w:hAnsi="微软雅黑" w:hint="eastAsia"/>
                <w:sz w:val="17"/>
              </w:rPr>
              <w:t xml:space="preserve">In </w:t>
            </w:r>
            <w:proofErr w:type="spellStart"/>
            <w:r w:rsidRPr="00264E8E">
              <w:rPr>
                <w:rFonts w:ascii="微软雅黑" w:eastAsia="微软雅黑" w:hAnsi="微软雅黑" w:hint="eastAsia"/>
                <w:sz w:val="17"/>
              </w:rPr>
              <w:t>i</w:t>
            </w:r>
            <w:proofErr w:type="spellEnd"/>
            <w:r w:rsidRPr="00264E8E">
              <w:rPr>
                <w:rFonts w:ascii="微软雅黑" w:eastAsia="微软雅黑" w:hAnsi="微软雅黑" w:hint="eastAsia"/>
                <w:sz w:val="17"/>
              </w:rPr>
              <w:t xml:space="preserve">*, the Resource "Patient Pathway Record" is Needed-By two Tasks: Assess Referral and </w:t>
            </w:r>
            <w:r w:rsidRPr="00264E8E">
              <w:rPr>
                <w:rFonts w:ascii="微软雅黑" w:eastAsia="微软雅黑" w:hAnsi="微软雅黑" w:hint="eastAsia"/>
                <w:sz w:val="17"/>
              </w:rPr>
              <w:lastRenderedPageBreak/>
              <w:t>Deliver Treatment and Follow-up.</w:t>
            </w:r>
          </w:p>
        </w:tc>
      </w:tr>
    </w:tbl>
    <w:p w14:paraId="32715FE5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</w:rPr>
        <w:lastRenderedPageBreak/>
        <w:t xml:space="preserve">Evidence E-10: Referring </w:t>
      </w:r>
      <w:proofErr w:type="spellStart"/>
      <w:r w:rsidRPr="00264E8E">
        <w:rPr>
          <w:rFonts w:ascii="微软雅黑" w:eastAsia="微软雅黑" w:hAnsi="微软雅黑"/>
        </w:rPr>
        <w:t>Organisation</w:t>
      </w:r>
      <w:proofErr w:type="spellEnd"/>
      <w:r w:rsidRPr="00264E8E">
        <w:rPr>
          <w:rFonts w:ascii="微软雅黑" w:eastAsia="微软雅黑" w:hAnsi="微软雅黑"/>
        </w:rPr>
        <w:t xml:space="preserve"> process instance (role-based access control)</w:t>
      </w:r>
      <w:r w:rsidRPr="00264E8E">
        <w:rPr>
          <w:rFonts w:ascii="微软雅黑" w:eastAsia="微软雅黑" w:hAnsi="微软雅黑"/>
          <w:noProof/>
        </w:rPr>
        <w:drawing>
          <wp:inline distT="0" distB="0" distL="0" distR="0" wp14:anchorId="193E14EB" wp14:editId="7DB53E0E">
            <wp:extent cx="5486400" cy="271907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9741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</w:rPr>
        <w:t>Evidence E-AT-02: Hospital process instances (role-based access control)</w:t>
      </w:r>
    </w:p>
    <w:p w14:paraId="274F61E5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D1A9241" wp14:editId="6F698221">
            <wp:extent cx="5486400" cy="271907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5A65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</w:rPr>
        <w:t>Evidence E-AT-08: Patient process instances (role-based access control)</w:t>
      </w:r>
    </w:p>
    <w:p w14:paraId="5077A41D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  <w:noProof/>
        </w:rPr>
        <w:drawing>
          <wp:inline distT="0" distB="0" distL="0" distR="0" wp14:anchorId="3DB226DF" wp14:editId="768A0EA7">
            <wp:extent cx="5486400" cy="271907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DB0F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</w:rPr>
        <w:t>Evidence E-AT-16: Service task execution log (business logic in service workers)</w:t>
      </w:r>
    </w:p>
    <w:p w14:paraId="5EE37EDA" w14:textId="77777777" w:rsidR="001E3D44" w:rsidRPr="00264E8E" w:rsidRDefault="00000000">
      <w:pPr>
        <w:rPr>
          <w:rFonts w:ascii="微软雅黑" w:eastAsia="微软雅黑" w:hAnsi="微软雅黑" w:hint="eastAsia"/>
        </w:rPr>
      </w:pPr>
      <w:r w:rsidRPr="00264E8E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9610E1C" wp14:editId="0B672250">
            <wp:extent cx="5486400" cy="271907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5812" w14:textId="77777777" w:rsidR="001E3D44" w:rsidRPr="00264E8E" w:rsidRDefault="001E3D44">
      <w:pPr>
        <w:rPr>
          <w:rFonts w:ascii="微软雅黑" w:eastAsia="微软雅黑" w:hAnsi="微软雅黑" w:hint="eastAsia"/>
        </w:rPr>
      </w:pPr>
    </w:p>
    <w:p w14:paraId="34ED9371" w14:textId="77777777" w:rsidR="001E3D44" w:rsidRPr="00264E8E" w:rsidRDefault="001E3D44">
      <w:pPr>
        <w:rPr>
          <w:rFonts w:ascii="微软雅黑" w:eastAsia="微软雅黑" w:hAnsi="微软雅黑" w:hint="eastAsia"/>
        </w:rPr>
      </w:pPr>
    </w:p>
    <w:sectPr w:rsidR="001E3D44" w:rsidRPr="00264E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6255" w14:textId="77777777" w:rsidR="00D75C45" w:rsidRDefault="00D75C45">
      <w:pPr>
        <w:spacing w:line="240" w:lineRule="auto"/>
      </w:pPr>
      <w:r>
        <w:separator/>
      </w:r>
    </w:p>
  </w:endnote>
  <w:endnote w:type="continuationSeparator" w:id="0">
    <w:p w14:paraId="7BF2CE31" w14:textId="77777777" w:rsidR="00D75C45" w:rsidRDefault="00D75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D31F" w14:textId="77777777" w:rsidR="00D75C45" w:rsidRDefault="00D75C45">
      <w:pPr>
        <w:spacing w:after="0"/>
      </w:pPr>
      <w:r>
        <w:separator/>
      </w:r>
    </w:p>
  </w:footnote>
  <w:footnote w:type="continuationSeparator" w:id="0">
    <w:p w14:paraId="0BEDF2E7" w14:textId="77777777" w:rsidR="00D75C45" w:rsidRDefault="00D75C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26934840">
    <w:abstractNumId w:val="0"/>
  </w:num>
  <w:num w:numId="2" w16cid:durableId="633754626">
    <w:abstractNumId w:val="1"/>
  </w:num>
  <w:num w:numId="3" w16cid:durableId="1888176425">
    <w:abstractNumId w:val="3"/>
  </w:num>
  <w:num w:numId="4" w16cid:durableId="671034203">
    <w:abstractNumId w:val="2"/>
  </w:num>
  <w:num w:numId="5" w16cid:durableId="1463184423">
    <w:abstractNumId w:val="4"/>
  </w:num>
  <w:num w:numId="6" w16cid:durableId="1716853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3F"/>
    <w:rsid w:val="00034616"/>
    <w:rsid w:val="0006063C"/>
    <w:rsid w:val="0015074B"/>
    <w:rsid w:val="001E3D44"/>
    <w:rsid w:val="00264E8E"/>
    <w:rsid w:val="0029639D"/>
    <w:rsid w:val="00326F90"/>
    <w:rsid w:val="00433D2A"/>
    <w:rsid w:val="006B79D2"/>
    <w:rsid w:val="00AA1D8D"/>
    <w:rsid w:val="00B47730"/>
    <w:rsid w:val="00C12976"/>
    <w:rsid w:val="00CB0664"/>
    <w:rsid w:val="00D75C45"/>
    <w:rsid w:val="00FC693F"/>
    <w:rsid w:val="02295205"/>
    <w:rsid w:val="2F396DA4"/>
    <w:rsid w:val="52DB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B133"/>
  <w15:docId w15:val="{BB909077-AB0D-4BAA-96CD-54B1A25C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1-3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character" w:customStyle="1" w:styleId="a6">
    <w:name w:val="正文文本 字符"/>
    <w:basedOn w:val="a2"/>
    <w:link w:val="a7"/>
    <w:uiPriority w:val="99"/>
  </w:style>
  <w:style w:type="paragraph" w:styleId="a8">
    <w:name w:val="Title"/>
    <w:basedOn w:val="a1"/>
    <w:next w:val="a1"/>
    <w:link w:val="a9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Intense Quote"/>
    <w:basedOn w:val="a1"/>
    <w:next w:val="a1"/>
    <w:link w:val="a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1-20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23">
    <w:name w:val="正文文本 2 字符"/>
    <w:basedOn w:val="a2"/>
    <w:link w:val="24"/>
    <w:uiPriority w:val="99"/>
  </w:style>
  <w:style w:type="table" w:styleId="2-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0">
    <w:name w:val="List Bullet"/>
    <w:basedOn w:val="a1"/>
    <w:uiPriority w:val="99"/>
    <w:unhideWhenUsed/>
    <w:pPr>
      <w:numPr>
        <w:numId w:val="6"/>
      </w:numPr>
      <w:contextualSpacing/>
    </w:p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c">
    <w:name w:val="页眉 字符"/>
    <w:basedOn w:val="a2"/>
    <w:link w:val="ad"/>
    <w:uiPriority w:val="99"/>
  </w:style>
  <w:style w:type="table" w:styleId="ae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33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paragraph" w:styleId="af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af0">
    <w:name w:val="Quote"/>
    <w:basedOn w:val="a1"/>
    <w:next w:val="a1"/>
    <w:link w:val="af1"/>
    <w:uiPriority w:val="29"/>
    <w:qFormat/>
    <w:rPr>
      <w:i/>
      <w:iCs/>
      <w:color w:val="000000" w:themeColor="text1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Body Text"/>
    <w:basedOn w:val="a1"/>
    <w:link w:val="a6"/>
    <w:uiPriority w:val="99"/>
    <w:unhideWhenUsed/>
    <w:pPr>
      <w:spacing w:after="120"/>
    </w:pPr>
  </w:style>
  <w:style w:type="paragraph" w:styleId="af2">
    <w:name w:val="No Spacing"/>
    <w:uiPriority w:val="1"/>
    <w:qFormat/>
    <w:rPr>
      <w:sz w:val="22"/>
      <w:szCs w:val="22"/>
      <w:lang w:eastAsia="en-US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table" w:styleId="-6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-3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50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af3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2">
    <w:name w:val="书籍标题1"/>
    <w:basedOn w:val="a2"/>
    <w:uiPriority w:val="33"/>
    <w:qFormat/>
    <w:rPr>
      <w:b/>
      <w:bCs/>
      <w:smallCaps/>
      <w:spacing w:val="5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1-6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41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30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d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f6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character" w:customStyle="1" w:styleId="ab">
    <w:name w:val="明显引用 字符"/>
    <w:basedOn w:val="a2"/>
    <w:link w:val="aa"/>
    <w:uiPriority w:val="30"/>
    <w:rPr>
      <w:b/>
      <w:bCs/>
      <w:i/>
      <w:iCs/>
      <w:color w:val="4F81BD" w:themeColor="accent1"/>
    </w:r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0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f7">
    <w:name w:val="List"/>
    <w:basedOn w:val="a1"/>
    <w:uiPriority w:val="99"/>
    <w:unhideWhenUsed/>
    <w:pPr>
      <w:ind w:left="360" w:hanging="360"/>
      <w:contextualSpacing/>
    </w:pPr>
  </w:style>
  <w:style w:type="table" w:styleId="-31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-32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2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51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62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20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af5">
    <w:name w:val="副标题 字符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26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styleId="af9">
    <w:name w:val="Emphasis"/>
    <w:basedOn w:val="a2"/>
    <w:uiPriority w:val="20"/>
    <w:qFormat/>
    <w:rPr>
      <w:i/>
      <w:iCs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paragraph" w:styleId="afa">
    <w:name w:val="footer"/>
    <w:basedOn w:val="a1"/>
    <w:link w:val="af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-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1-51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7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d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e">
    <w:name w:val="List Paragraph"/>
    <w:basedOn w:val="a1"/>
    <w:uiPriority w:val="34"/>
    <w:qFormat/>
    <w:pPr>
      <w:ind w:left="720"/>
      <w:contextualSpacing/>
    </w:pPr>
  </w:style>
  <w:style w:type="table" w:styleId="1-21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2-3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2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2">
    <w:name w:val="List Number 2"/>
    <w:basedOn w:val="a1"/>
    <w:uiPriority w:val="99"/>
    <w:unhideWhenUsed/>
    <w:pPr>
      <w:numPr>
        <w:numId w:val="2"/>
      </w:numPr>
      <w:contextualSpacing/>
    </w:pPr>
  </w:style>
  <w:style w:type="character" w:customStyle="1" w:styleId="aff0">
    <w:name w:val="宏文本 字符"/>
    <w:basedOn w:val="a2"/>
    <w:link w:val="aff1"/>
    <w:uiPriority w:val="99"/>
    <w:rPr>
      <w:rFonts w:ascii="Courier" w:hAnsi="Courier"/>
      <w:sz w:val="20"/>
      <w:szCs w:val="20"/>
    </w:rPr>
  </w:style>
  <w:style w:type="table" w:styleId="-33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10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f1">
    <w:name w:val="引用 字符"/>
    <w:basedOn w:val="a2"/>
    <w:link w:val="af0"/>
    <w:uiPriority w:val="29"/>
    <w:rPr>
      <w:i/>
      <w:iCs/>
      <w:color w:val="000000" w:themeColor="text1"/>
    </w:rPr>
  </w:style>
  <w:style w:type="table" w:styleId="-34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3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43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2-61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4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1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24">
    <w:name w:val="Body Text 2"/>
    <w:basedOn w:val="a1"/>
    <w:link w:val="23"/>
    <w:uiPriority w:val="99"/>
    <w:unhideWhenUsed/>
    <w:pPr>
      <w:spacing w:after="120" w:line="480" w:lineRule="auto"/>
    </w:pPr>
  </w:style>
  <w:style w:type="table" w:styleId="-22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44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ff2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2-41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4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5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2-20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2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table" w:styleId="28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0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-41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61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4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fb">
    <w:name w:val="页脚 字符"/>
    <w:basedOn w:val="a2"/>
    <w:link w:val="afa"/>
    <w:uiPriority w:val="99"/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1-10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-25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table" w:styleId="-13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29">
    <w:name w:val="List 2"/>
    <w:basedOn w:val="a1"/>
    <w:uiPriority w:val="99"/>
    <w:unhideWhenUsed/>
    <w:pPr>
      <w:ind w:left="720" w:hanging="360"/>
      <w:contextualSpacing/>
    </w:pPr>
  </w:style>
  <w:style w:type="character" w:customStyle="1" w:styleId="a9">
    <w:name w:val="标题 字符"/>
    <w:basedOn w:val="a2"/>
    <w:link w:val="a8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ff3">
    <w:name w:val="Strong"/>
    <w:basedOn w:val="a2"/>
    <w:uiPriority w:val="22"/>
    <w:qFormat/>
    <w:rPr>
      <w:b/>
      <w:bCs/>
    </w:r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65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aff1">
    <w:name w:val="macro"/>
    <w:link w:val="af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table" w:styleId="-14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table" w:styleId="18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Night Ye</cp:lastModifiedBy>
  <cp:revision>3</cp:revision>
  <dcterms:created xsi:type="dcterms:W3CDTF">2026-10-20T00:58:00Z</dcterms:created>
  <dcterms:modified xsi:type="dcterms:W3CDTF">2026-10-20T13:21:00Z</dcterms:modified>
</cp:coreProperties>
</file>