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3DBC6B">
      <w:pPr>
        <w:keepNext/>
        <w:keepLines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b/>
          <w:sz w:val="44"/>
        </w:rPr>
        <w:t>Project Plan Evaluation</w:t>
      </w:r>
    </w:p>
    <w:p w14:paraId="54F6F1AD">
      <w:r>
        <w:rPr>
          <w:b/>
        </w:rPr>
        <w:t>Subject:</w:t>
      </w:r>
      <w:r>
        <w:t xml:space="preserve"> Hospital Patient Referral, Treatment and Administration System</w:t>
      </w:r>
    </w:p>
    <w:p w14:paraId="33B2352E">
      <w:pPr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b/>
          <w:sz w:val="32"/>
        </w:rPr>
        <w:t>1. Source basis and how "original / revised / actual" is read</w:t>
      </w:r>
    </w:p>
    <w:p w14:paraId="42FF1033">
      <w:pPr>
        <w:numPr>
          <w:ilvl w:val="0"/>
          <w:numId w:val="1"/>
        </w:numPr>
      </w:pPr>
      <w:r>
        <w:rPr>
          <w:b/>
        </w:rPr>
        <w:t>Requirement / expectation</w:t>
      </w:r>
      <w:r>
        <w:t xml:space="preserve"> — the assignment brief </w:t>
      </w:r>
      <w:r>
        <w:rPr>
          <w:i/>
        </w:rPr>
        <w:t>Business_Process_Modelling_v3_0923_system.docx</w:t>
      </w:r>
      <w:r>
        <w:t xml:space="preserve"> (what the system was asked to deliver: 7 stakeholder classes, the 8 sub-processes, dependency rules, and the five-phase BPM lifecycle).</w:t>
      </w:r>
    </w:p>
    <w:p w14:paraId="29320DF7">
      <w:pPr>
        <w:numPr>
          <w:ilvl w:val="0"/>
          <w:numId w:val="1"/>
        </w:numPr>
      </w:pPr>
      <w:r>
        <w:rPr>
          <w:b/>
        </w:rPr>
        <w:t>Plan</w:t>
      </w:r>
      <w:r>
        <w:t xml:space="preserve"> — the consolidated </w:t>
      </w:r>
      <w:r>
        <w:rPr>
          <w:i/>
        </w:rPr>
        <w:t>Project and Test Plan and Decision Justification</w:t>
      </w:r>
      <w:r>
        <w:t xml:space="preserve"> (v1.0, 29 Sep 2026): product backlog (PB-01…PB-15), sprint backlogs (S1–S4), acceptance test plan (AT-01…AT-21) and the design decisions.</w:t>
      </w:r>
    </w:p>
    <w:p w14:paraId="43DCBECE">
      <w:pPr>
        <w:numPr>
          <w:ilvl w:val="0"/>
          <w:numId w:val="1"/>
        </w:numPr>
      </w:pPr>
      <w:r>
        <w:rPr>
          <w:b/>
        </w:rPr>
        <w:t>Actual progress</w:t>
      </w:r>
      <w:r>
        <w:t xml:space="preserve"> — the same plan document's recorded </w:t>
      </w:r>
      <w:r>
        <w:t>Status</w:t>
      </w:r>
      <w:r>
        <w:t xml:space="preserve"> columns, test results (TR-01…TR-07), acceptance results (AT-01…AT-21) and evidence table.</w:t>
      </w:r>
    </w:p>
    <w:p w14:paraId="1F5DEE38">
      <w:r>
        <w:t xml:space="preserve">No separate "revised plan" draft was provided. Where the as-built model differs from the brief's expectation, that difference is reported as a scope/plan revision. Within the plan itself, status deltas (e.g. deferred timers/error events, a few evidence items marked </w:t>
      </w:r>
      <w:r>
        <w:rPr>
          <w:i/>
        </w:rPr>
        <w:t>Required</w:t>
      </w:r>
      <w:r>
        <w:t>) are the only visible revisions.</w:t>
      </w:r>
    </w:p>
    <w:p w14:paraId="15E7F8F8">
      <w:pPr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b/>
          <w:sz w:val="32"/>
        </w:rPr>
        <w:t>2. Executive summary</w:t>
      </w:r>
    </w:p>
    <w:p w14:paraId="6057D572">
      <w:pPr>
        <w:numPr>
          <w:ilvl w:val="0"/>
          <w:numId w:val="1"/>
        </w:numPr>
      </w:pPr>
      <w:r>
        <w:rPr>
          <w:b/>
        </w:rPr>
        <w:t>Scope:</w:t>
      </w:r>
      <w:r>
        <w:t xml:space="preserve"> delivered in full against the backlog — all 15 backlog items reached Complete / Passed / Implemented, and all 21 acceptance scenarios passed with recorded evidence.</w:t>
      </w:r>
    </w:p>
    <w:p w14:paraId="1C641172">
      <w:pPr>
        <w:numPr>
          <w:ilvl w:val="0"/>
          <w:numId w:val="1"/>
        </w:numPr>
      </w:pPr>
      <w:r>
        <w:rPr>
          <w:b/>
        </w:rPr>
        <w:t>Priorities:</w:t>
      </w:r>
      <w:r>
        <w:t xml:space="preserve"> consistent — 14 of 15 items are </w:t>
      </w:r>
      <w:r>
        <w:rPr>
          <w:i/>
        </w:rPr>
        <w:t>Must</w:t>
      </w:r>
      <w:r>
        <w:t xml:space="preserve">; the single </w:t>
      </w:r>
      <w:r>
        <w:rPr>
          <w:i/>
        </w:rPr>
        <w:t>Should</w:t>
      </w:r>
      <w:r>
        <w:t xml:space="preserve"> item (PB-14 clinic letter) was also implemented, so no planned scope was dropped.</w:t>
      </w:r>
    </w:p>
    <w:p w14:paraId="296D616C">
      <w:pPr>
        <w:numPr>
          <w:ilvl w:val="0"/>
          <w:numId w:val="1"/>
        </w:numPr>
      </w:pPr>
      <w:r>
        <w:rPr>
          <w:b/>
        </w:rPr>
        <w:t>Estimates:</w:t>
      </w:r>
      <w:r>
        <w:t xml:space="preserve"> the most visible weakness — the plan is expressed only as four sprints with no effort, story-point or calendar estimate.</w:t>
      </w:r>
    </w:p>
    <w:p w14:paraId="0B7E6FB0">
      <w:pPr>
        <w:numPr>
          <w:ilvl w:val="0"/>
          <w:numId w:val="1"/>
        </w:numPr>
      </w:pPr>
      <w:r>
        <w:rPr>
          <w:b/>
        </w:rPr>
        <w:t>Task allocation:</w:t>
      </w:r>
      <w:r>
        <w:t xml:space="preserve"> faithful to the brief's responsibility boundaries; the 24 user tasks, 24 workers and 20 messages are pairwise consistent (TR-03/04/05 passed).</w:t>
      </w:r>
    </w:p>
    <w:p w14:paraId="52E43F88">
      <w:pPr>
        <w:numPr>
          <w:ilvl w:val="0"/>
          <w:numId w:val="1"/>
        </w:numPr>
      </w:pPr>
      <w:r>
        <w:rPr>
          <w:b/>
        </w:rPr>
        <w:t>Dependencies &amp; integration:</w:t>
      </w:r>
      <w:r>
        <w:t xml:space="preserve"> modelled with message flows and a single </w:t>
      </w:r>
      <w:r>
        <w:t>correlationKey</w:t>
      </w:r>
      <w:r>
        <w:t>; verified end-to-end (TR-02 passed).</w:t>
      </w:r>
    </w:p>
    <w:p w14:paraId="66DE5A2B">
      <w:pPr>
        <w:numPr>
          <w:ilvl w:val="0"/>
          <w:numId w:val="1"/>
        </w:numPr>
      </w:pPr>
      <w:r>
        <w:rPr>
          <w:b/>
        </w:rPr>
        <w:t>Risks:</w:t>
      </w:r>
      <w:r>
        <w:t xml:space="preserve"> identified and controlled through documentation and operating procedures, but technical exception handling (Boundary/Timer/Error events) was </w:t>
      </w:r>
      <w:r>
        <w:rPr>
          <w:b/>
        </w:rPr>
        <w:t>deferred</w:t>
      </w:r>
      <w:r>
        <w:t>, which is the main residual risk.</w:t>
      </w:r>
    </w:p>
    <w:p w14:paraId="4100BF78">
      <w:pPr>
        <w:numPr>
          <w:ilvl w:val="0"/>
          <w:numId w:val="1"/>
        </w:numPr>
      </w:pPr>
      <w:r>
        <w:rPr>
          <w:b/>
        </w:rPr>
        <w:t>Sprint outcomes:</w:t>
      </w:r>
      <w:r>
        <w:t xml:space="preserve"> all four sprints completed on plan with no spillover.</w:t>
      </w:r>
    </w:p>
    <w:p w14:paraId="3725BE59">
      <w:pPr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b/>
          <w:sz w:val="32"/>
        </w:rPr>
        <w:t>3. Dimension-by-dimension evaluation</w:t>
      </w:r>
    </w:p>
    <w:tbl>
      <w:tblPr>
        <w:tblStyle w:val="2"/>
        <w:tblW w:w="14560" w:type="dxa"/>
        <w:jc w:val="center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</w:tblPr>
      <w:tblGrid>
        <w:gridCol w:w="1700"/>
        <w:gridCol w:w="3300"/>
        <w:gridCol w:w="3300"/>
        <w:gridCol w:w="3000"/>
        <w:gridCol w:w="3260"/>
      </w:tblGrid>
      <w:tr w14:paraId="6AC382F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tblHeader/>
          <w:jc w:val="center"/>
        </w:trPr>
        <w:tc>
          <w:tcPr>
            <w:tcW w:w="1700" w:type="dxa"/>
            <w:vAlign w:val="top"/>
          </w:tcPr>
          <w:p w14:paraId="7B8137C8">
            <w:pPr>
              <w:rPr>
                <w:b/>
                <w:bCs/>
              </w:rPr>
            </w:pPr>
            <w:r>
              <w:rPr>
                <w:b/>
              </w:rPr>
              <w:t>Dimension</w:t>
            </w:r>
          </w:p>
        </w:tc>
        <w:tc>
          <w:tcPr>
            <w:tcW w:w="3300" w:type="dxa"/>
            <w:vAlign w:val="top"/>
          </w:tcPr>
          <w:p w14:paraId="7E073E28">
            <w:pPr>
              <w:rPr>
                <w:b/>
                <w:bCs/>
              </w:rPr>
            </w:pPr>
            <w:r>
              <w:rPr>
                <w:b/>
              </w:rPr>
              <w:t>Requirement (brief)</w:t>
            </w:r>
          </w:p>
        </w:tc>
        <w:tc>
          <w:tcPr>
            <w:tcW w:w="3300" w:type="dxa"/>
            <w:vAlign w:val="top"/>
          </w:tcPr>
          <w:p w14:paraId="74813088">
            <w:pPr>
              <w:rPr>
                <w:b/>
                <w:bCs/>
              </w:rPr>
            </w:pPr>
            <w:r>
              <w:rPr>
                <w:b/>
              </w:rPr>
              <w:t>Planned (test plan)</w:t>
            </w:r>
          </w:p>
        </w:tc>
        <w:tc>
          <w:tcPr>
            <w:tcW w:w="3000" w:type="dxa"/>
            <w:vAlign w:val="top"/>
          </w:tcPr>
          <w:p w14:paraId="722BA312">
            <w:pPr>
              <w:rPr>
                <w:b/>
                <w:bCs/>
              </w:rPr>
            </w:pPr>
            <w:r>
              <w:rPr>
                <w:b/>
              </w:rPr>
              <w:t>Actual delivery</w:t>
            </w:r>
          </w:p>
        </w:tc>
        <w:tc>
          <w:tcPr>
            <w:tcW w:w="3260" w:type="dxa"/>
            <w:vAlign w:val="top"/>
          </w:tcPr>
          <w:p w14:paraId="1201F233">
            <w:pPr>
              <w:rPr>
                <w:b/>
                <w:bCs/>
              </w:rPr>
            </w:pPr>
            <w:r>
              <w:rPr>
                <w:b/>
              </w:rPr>
              <w:t>Critical finding</w:t>
            </w:r>
          </w:p>
        </w:tc>
      </w:tr>
      <w:tr w14:paraId="2A45BE5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jc w:val="center"/>
        </w:trPr>
        <w:tc>
          <w:tcPr>
            <w:tcW w:w="1700" w:type="dxa"/>
            <w:vAlign w:val="top"/>
          </w:tcPr>
          <w:p w14:paraId="00D8B2CF">
            <w:r>
              <w:rPr>
                <w:b/>
              </w:rPr>
              <w:t>Scope</w:t>
            </w:r>
          </w:p>
        </w:tc>
        <w:tc>
          <w:tcPr>
            <w:tcW w:w="3300" w:type="dxa"/>
            <w:vAlign w:val="top"/>
          </w:tcPr>
          <w:p w14:paraId="3FF8C8BC">
            <w:r>
              <w:t>Model the referral→treatment→clinic-letter pathway; 7 stakeholder classes; 8 sub-processes; dependency rules; 5-phase BPM lifecycle</w:t>
            </w:r>
          </w:p>
        </w:tc>
        <w:tc>
          <w:tcPr>
            <w:tcW w:w="3300" w:type="dxa"/>
            <w:vAlign w:val="top"/>
          </w:tcPr>
          <w:p w14:paraId="0F561B56">
            <w:r>
              <w:t>4 executable processes, 7 lanes, 24 user tasks, 24 form bindings, 24 worker types, 20 messages; backlog PB-01…PB-15</w:t>
            </w:r>
          </w:p>
        </w:tc>
        <w:tc>
          <w:tcPr>
            <w:tcW w:w="3000" w:type="dxa"/>
            <w:vAlign w:val="top"/>
          </w:tcPr>
          <w:p w14:paraId="209D79C0">
            <w:r>
              <w:t>All 15 backlog items Complete/Passed/Implemented; AT-01…AT-21 passed; TR-01…TR-07 passed</w:t>
            </w:r>
          </w:p>
        </w:tc>
        <w:tc>
          <w:tcPr>
            <w:tcW w:w="3260" w:type="dxa"/>
            <w:vAlign w:val="top"/>
          </w:tcPr>
          <w:p w14:paraId="1D5623C1">
            <w:r>
              <w:t>Scope met. The brief's "Analyse" and live "Monitor" phases are only partly realised — monitoring is delivered as automated test evidence rather than live KPI tracking.</w:t>
            </w:r>
          </w:p>
        </w:tc>
      </w:tr>
      <w:tr w14:paraId="33BFA21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jc w:val="center"/>
        </w:trPr>
        <w:tc>
          <w:tcPr>
            <w:tcW w:w="1700" w:type="dxa"/>
            <w:vAlign w:val="top"/>
          </w:tcPr>
          <w:p w14:paraId="24BF44D7">
            <w:r>
              <w:rPr>
                <w:b/>
              </w:rPr>
              <w:t>Priorities</w:t>
            </w:r>
          </w:p>
        </w:tc>
        <w:tc>
          <w:tcPr>
            <w:tcW w:w="3300" w:type="dxa"/>
            <w:vAlign w:val="top"/>
          </w:tcPr>
          <w:p w14:paraId="51EF4A9A">
            <w:r>
              <w:t>Emphasis on keeping clinical, administrative and financial responsibility boundaries distinct</w:t>
            </w:r>
          </w:p>
        </w:tc>
        <w:tc>
          <w:tcPr>
            <w:tcW w:w="3300" w:type="dxa"/>
            <w:vAlign w:val="top"/>
          </w:tcPr>
          <w:p w14:paraId="7E1145FF">
            <w:r>
              <w:t>Backlog priority column: 14 × Must, 1 × Should (PB-14)</w:t>
            </w:r>
          </w:p>
        </w:tc>
        <w:tc>
          <w:tcPr>
            <w:tcW w:w="3000" w:type="dxa"/>
            <w:vAlign w:val="top"/>
          </w:tcPr>
          <w:p w14:paraId="7C582E91">
            <w:r>
              <w:t>PB-14 (Should) also implemented; no Must item dropped</w:t>
            </w:r>
          </w:p>
        </w:tc>
        <w:tc>
          <w:tcPr>
            <w:tcW w:w="3260" w:type="dxa"/>
            <w:vAlign w:val="top"/>
          </w:tcPr>
          <w:p w14:paraId="261FDAAA">
            <w:r>
              <w:t>Priorities were held throughout; nothing was de-scoped.</w:t>
            </w:r>
          </w:p>
        </w:tc>
      </w:tr>
      <w:tr w14:paraId="08CC9BC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jc w:val="center"/>
        </w:trPr>
        <w:tc>
          <w:tcPr>
            <w:tcW w:w="1700" w:type="dxa"/>
            <w:vAlign w:val="top"/>
          </w:tcPr>
          <w:p w14:paraId="11813078">
            <w:r>
              <w:rPr>
                <w:b/>
              </w:rPr>
              <w:t>Estimates</w:t>
            </w:r>
          </w:p>
        </w:tc>
        <w:tc>
          <w:tcPr>
            <w:tcW w:w="3300" w:type="dxa"/>
            <w:vAlign w:val="top"/>
          </w:tcPr>
          <w:p w14:paraId="56C81511">
            <w:r>
              <w:t>Not specified</w:t>
            </w:r>
          </w:p>
        </w:tc>
        <w:tc>
          <w:tcPr>
            <w:tcW w:w="3300" w:type="dxa"/>
            <w:vAlign w:val="top"/>
          </w:tcPr>
          <w:p w14:paraId="49ECE3BB">
            <w:r>
              <w:t>Four sprints (S1–S4) with item lists, but no effort, story-point or calendar estimates</w:t>
            </w:r>
          </w:p>
        </w:tc>
        <w:tc>
          <w:tcPr>
            <w:tcW w:w="3000" w:type="dxa"/>
            <w:vAlign w:val="top"/>
          </w:tcPr>
          <w:p w14:paraId="27972D6D">
            <w:r>
              <w:t>Delivered across the four sprints as planned</w:t>
            </w:r>
          </w:p>
        </w:tc>
        <w:tc>
          <w:tcPr>
            <w:tcW w:w="3260" w:type="dxa"/>
            <w:vAlign w:val="top"/>
          </w:tcPr>
          <w:p w14:paraId="4EBFF3BD">
            <w:r>
              <w:t>Gap: no quantitative estimation exists, so schedule variance cannot be measured numerically.</w:t>
            </w:r>
          </w:p>
        </w:tc>
      </w:tr>
      <w:tr w14:paraId="39D2618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jc w:val="center"/>
        </w:trPr>
        <w:tc>
          <w:tcPr>
            <w:tcW w:w="1700" w:type="dxa"/>
            <w:vAlign w:val="top"/>
          </w:tcPr>
          <w:p w14:paraId="6EB12486">
            <w:r>
              <w:rPr>
                <w:b/>
              </w:rPr>
              <w:t>Task allocation</w:t>
            </w:r>
          </w:p>
        </w:tc>
        <w:tc>
          <w:tcPr>
            <w:tcW w:w="3300" w:type="dxa"/>
            <w:vAlign w:val="top"/>
          </w:tcPr>
          <w:p w14:paraId="5891620E">
            <w:r>
              <w:t>7-stakeholder responsibility table; boundaries between clinical, admin and finance</w:t>
            </w:r>
          </w:p>
        </w:tc>
        <w:tc>
          <w:tcPr>
            <w:tcW w:w="3300" w:type="dxa"/>
            <w:vAlign w:val="top"/>
          </w:tcPr>
          <w:p w14:paraId="08AAC76D">
            <w:r>
              <w:t>Lane/participant boundaries (Table 33) and task-type mapping — User/Service/Send tasks (Table 34)</w:t>
            </w:r>
          </w:p>
        </w:tc>
        <w:tc>
          <w:tcPr>
            <w:tcW w:w="3000" w:type="dxa"/>
            <w:vAlign w:val="top"/>
          </w:tcPr>
          <w:p w14:paraId="3963E84C">
            <w:r>
              <w:t>24 user tasks ↔ 24 forms; 24 workers ↔ 24 BPMN types; 20 messages ↔ 20 constants (all consistent)</w:t>
            </w:r>
          </w:p>
        </w:tc>
        <w:tc>
          <w:tcPr>
            <w:tcW w:w="3260" w:type="dxa"/>
            <w:vAlign w:val="top"/>
          </w:tcPr>
          <w:p w14:paraId="7BDE39F7">
            <w:r>
              <w:t>Allocation matches plan; the External Payment &amp; Funding Providers is correctly a separate participant, not a Hospital lane.</w:t>
            </w:r>
          </w:p>
        </w:tc>
      </w:tr>
      <w:tr w14:paraId="6A08525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jc w:val="center"/>
        </w:trPr>
        <w:tc>
          <w:tcPr>
            <w:tcW w:w="1700" w:type="dxa"/>
            <w:vAlign w:val="top"/>
          </w:tcPr>
          <w:p w14:paraId="3D24DD0E">
            <w:r>
              <w:rPr>
                <w:b/>
              </w:rPr>
              <w:t>Dependencies</w:t>
            </w:r>
          </w:p>
        </w:tc>
        <w:tc>
          <w:tcPr>
            <w:tcW w:w="3300" w:type="dxa"/>
            <w:vAlign w:val="top"/>
          </w:tcPr>
          <w:p w14:paraId="4B7828DF">
            <w:r>
              <w:t>Nine-process dependency table (clinical review←referral, treatment←consent, booking←clearance, etc.)</w:t>
            </w:r>
          </w:p>
        </w:tc>
        <w:tc>
          <w:tcPr>
            <w:tcW w:w="3300" w:type="dxa"/>
            <w:vAlign w:val="top"/>
          </w:tcPr>
          <w:p w14:paraId="53E342CC">
            <w:r>
              <w:t xml:space="preserve">Message-flow interactions (Table 36) and 13 business rules (BR-01…BR-13) with </w:t>
            </w:r>
            <w:r>
              <w:t>correlationKey</w:t>
            </w:r>
          </w:p>
        </w:tc>
        <w:tc>
          <w:tcPr>
            <w:tcW w:w="3000" w:type="dxa"/>
            <w:vAlign w:val="top"/>
          </w:tcPr>
          <w:p w14:paraId="60635E3A">
            <w:r>
              <w:t>Message-name and correlation consistency verified (TR-05); dependency routes covered by AT tests</w:t>
            </w:r>
          </w:p>
        </w:tc>
        <w:tc>
          <w:tcPr>
            <w:tcW w:w="3260" w:type="dxa"/>
            <w:vAlign w:val="top"/>
          </w:tcPr>
          <w:p w14:paraId="73945A55">
            <w:r>
              <w:t>Dependencies are satisfied; no outstanding dependency failure.</w:t>
            </w:r>
          </w:p>
        </w:tc>
      </w:tr>
      <w:tr w14:paraId="4E70DE0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jc w:val="center"/>
        </w:trPr>
        <w:tc>
          <w:tcPr>
            <w:tcW w:w="1700" w:type="dxa"/>
            <w:vAlign w:val="top"/>
          </w:tcPr>
          <w:p w14:paraId="615A9AD8">
            <w:r>
              <w:rPr>
                <w:b/>
              </w:rPr>
              <w:t>Risks</w:t>
            </w:r>
          </w:p>
        </w:tc>
        <w:tc>
          <w:tcPr>
            <w:tcW w:w="3300" w:type="dxa"/>
            <w:vAlign w:val="top"/>
          </w:tcPr>
          <w:p w14:paraId="7DA73F03">
            <w:r>
              <w:t>Exception handling implied but not enumerated</w:t>
            </w:r>
          </w:p>
        </w:tc>
        <w:tc>
          <w:tcPr>
            <w:tcW w:w="3300" w:type="dxa"/>
            <w:vAlign w:val="top"/>
          </w:tcPr>
          <w:p w14:paraId="721C4961">
            <w:r>
              <w:t xml:space="preserve">Section 2.6/2.7 documents assumptions and 7 exception classes; explicitly </w:t>
            </w:r>
            <w:r>
              <w:rPr>
                <w:b/>
              </w:rPr>
              <w:t>no</w:t>
            </w:r>
            <w:r>
              <w:t xml:space="preserve"> Boundary/Timer/Error events</w:t>
            </w:r>
          </w:p>
        </w:tc>
        <w:tc>
          <w:tcPr>
            <w:tcW w:w="3000" w:type="dxa"/>
            <w:vAlign w:val="top"/>
          </w:tcPr>
          <w:p w14:paraId="3737C414">
            <w:r>
              <w:t>No failed acceptance test and no active incident at submission (1.9)</w:t>
            </w:r>
          </w:p>
        </w:tc>
        <w:tc>
          <w:tcPr>
            <w:tcW w:w="3260" w:type="dxa"/>
            <w:vAlign w:val="top"/>
          </w:tcPr>
          <w:p w14:paraId="0F0385FC">
            <w:r>
              <w:t>Residual risk: technical failures rely on Camunda retries + manual procedures because timer/error events were deferred.</w:t>
            </w:r>
          </w:p>
        </w:tc>
      </w:tr>
      <w:tr w14:paraId="695878B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jc w:val="center"/>
        </w:trPr>
        <w:tc>
          <w:tcPr>
            <w:tcW w:w="1700" w:type="dxa"/>
            <w:vAlign w:val="top"/>
          </w:tcPr>
          <w:p w14:paraId="200282A7">
            <w:r>
              <w:rPr>
                <w:b/>
              </w:rPr>
              <w:t>Integration</w:t>
            </w:r>
          </w:p>
        </w:tc>
        <w:tc>
          <w:tcPr>
            <w:tcW w:w="3300" w:type="dxa"/>
            <w:vAlign w:val="top"/>
          </w:tcPr>
          <w:p w14:paraId="6582879C">
            <w:r>
              <w:t>External service providers (scheduling, lab, imaging, payment) exchange reliable statuses</w:t>
            </w:r>
          </w:p>
        </w:tc>
        <w:tc>
          <w:tcPr>
            <w:tcW w:w="3300" w:type="dxa"/>
            <w:vAlign w:val="top"/>
          </w:tcPr>
          <w:p w14:paraId="40E5092A">
            <w:r>
              <w:t>20 messages / 21 message flows; publish-and-correlate pattern; integrated process test</w:t>
            </w:r>
          </w:p>
        </w:tc>
        <w:tc>
          <w:tcPr>
            <w:tcW w:w="3000" w:type="dxa"/>
            <w:vAlign w:val="top"/>
          </w:tcPr>
          <w:p w14:paraId="70B42403">
            <w:r>
              <w:t>Integrated execution test passed (TR-02); AT-01…AT-21 passed; deployment/worker evidence captured</w:t>
            </w:r>
          </w:p>
        </w:tc>
        <w:tc>
          <w:tcPr>
            <w:tcW w:w="3260" w:type="dxa"/>
            <w:vAlign w:val="top"/>
          </w:tcPr>
          <w:p w14:paraId="13DA52C6">
            <w:r>
              <w:t xml:space="preserve">Integration verified end-to-end. Minor inconsistency: PE-07/PE-08 are marked </w:t>
            </w:r>
            <w:r>
              <w:rPr>
                <w:i/>
              </w:rPr>
              <w:t>Required</w:t>
            </w:r>
            <w:r>
              <w:t xml:space="preserve"> while E-07…E-10 are listed </w:t>
            </w:r>
            <w:r>
              <w:rPr>
                <w:i/>
              </w:rPr>
              <w:t>Existing</w:t>
            </w:r>
            <w:r>
              <w:t>.</w:t>
            </w:r>
          </w:p>
        </w:tc>
      </w:tr>
      <w:tr w14:paraId="473805A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jc w:val="center"/>
        </w:trPr>
        <w:tc>
          <w:tcPr>
            <w:tcW w:w="1700" w:type="dxa"/>
            <w:vAlign w:val="top"/>
          </w:tcPr>
          <w:p w14:paraId="3203E22E">
            <w:r>
              <w:rPr>
                <w:b/>
              </w:rPr>
              <w:t>Sprint outcomes</w:t>
            </w:r>
          </w:p>
        </w:tc>
        <w:tc>
          <w:tcPr>
            <w:tcW w:w="3300" w:type="dxa"/>
            <w:vAlign w:val="top"/>
          </w:tcPr>
          <w:p w14:paraId="545F3EAD">
            <w:r>
              <w:t>Not specified as sprints in the brief</w:t>
            </w:r>
          </w:p>
        </w:tc>
        <w:tc>
          <w:tcPr>
            <w:tcW w:w="3300" w:type="dxa"/>
            <w:vAlign w:val="top"/>
          </w:tcPr>
          <w:p w14:paraId="229C0D47">
            <w:r>
              <w:t>Four sprints: S1 business analysis, S2 forms/rules/messages, S3 workers/verification, S4 integration/submission</w:t>
            </w:r>
          </w:p>
        </w:tc>
        <w:tc>
          <w:tcPr>
            <w:tcW w:w="3000" w:type="dxa"/>
            <w:vAlign w:val="top"/>
          </w:tcPr>
          <w:p w14:paraId="2BCF969B">
            <w:r>
              <w:t>S1–S3 items Complete (S2-04, S3-04 Passed); S4 all Passed</w:t>
            </w:r>
          </w:p>
        </w:tc>
        <w:tc>
          <w:tcPr>
            <w:tcW w:w="3260" w:type="dxa"/>
            <w:vAlign w:val="top"/>
          </w:tcPr>
          <w:p w14:paraId="263A5BAB">
            <w:r>
              <w:t>All sprints delivered on plan with no carry-over.</w:t>
            </w:r>
          </w:p>
        </w:tc>
      </w:tr>
    </w:tbl>
    <w:p w14:paraId="7F3E559A">
      <w:pPr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b/>
          <w:sz w:val="32"/>
        </w:rPr>
        <w:t>4. Sprint outcomes in detail</w:t>
      </w:r>
    </w:p>
    <w:tbl>
      <w:tblPr>
        <w:tblStyle w:val="2"/>
        <w:tblW w:w="14560" w:type="dxa"/>
        <w:jc w:val="center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</w:tblPr>
      <w:tblGrid>
        <w:gridCol w:w="1500"/>
        <w:gridCol w:w="2500"/>
        <w:gridCol w:w="1900"/>
        <w:gridCol w:w="4400"/>
        <w:gridCol w:w="4260"/>
      </w:tblGrid>
      <w:tr w14:paraId="421C7F3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tblHeader/>
          <w:jc w:val="center"/>
        </w:trPr>
        <w:tc>
          <w:tcPr>
            <w:tcW w:w="1500" w:type="dxa"/>
            <w:vAlign w:val="top"/>
          </w:tcPr>
          <w:p w14:paraId="69FF915E">
            <w:pPr>
              <w:rPr>
                <w:b/>
                <w:bCs/>
              </w:rPr>
            </w:pPr>
            <w:r>
              <w:rPr>
                <w:b/>
              </w:rPr>
              <w:t>Sprint</w:t>
            </w:r>
          </w:p>
        </w:tc>
        <w:tc>
          <w:tcPr>
            <w:tcW w:w="2500" w:type="dxa"/>
            <w:vAlign w:val="top"/>
          </w:tcPr>
          <w:p w14:paraId="3A48FEF1">
            <w:pPr>
              <w:rPr>
                <w:b/>
                <w:bCs/>
              </w:rPr>
            </w:pPr>
            <w:r>
              <w:rPr>
                <w:b/>
              </w:rPr>
              <w:t>Theme</w:t>
            </w:r>
          </w:p>
        </w:tc>
        <w:tc>
          <w:tcPr>
            <w:tcW w:w="1900" w:type="dxa"/>
            <w:vAlign w:val="top"/>
          </w:tcPr>
          <w:p w14:paraId="709197C8">
            <w:pPr>
              <w:rPr>
                <w:b/>
                <w:bCs/>
              </w:rPr>
            </w:pPr>
            <w:r>
              <w:rPr>
                <w:b/>
              </w:rPr>
              <w:t>Planned items</w:t>
            </w:r>
          </w:p>
        </w:tc>
        <w:tc>
          <w:tcPr>
            <w:tcW w:w="4400" w:type="dxa"/>
            <w:vAlign w:val="top"/>
          </w:tcPr>
          <w:p w14:paraId="2993B72F">
            <w:pPr>
              <w:rPr>
                <w:b/>
                <w:bCs/>
              </w:rPr>
            </w:pPr>
            <w:r>
              <w:rPr>
                <w:b/>
              </w:rPr>
              <w:t>Deliverables</w:t>
            </w:r>
          </w:p>
        </w:tc>
        <w:tc>
          <w:tcPr>
            <w:tcW w:w="4260" w:type="dxa"/>
            <w:vAlign w:val="top"/>
          </w:tcPr>
          <w:p w14:paraId="185A752B">
            <w:pPr>
              <w:rPr>
                <w:b/>
                <w:bCs/>
              </w:rPr>
            </w:pPr>
            <w:r>
              <w:rPr>
                <w:b/>
              </w:rPr>
              <w:t>Status</w:t>
            </w:r>
          </w:p>
        </w:tc>
      </w:tr>
      <w:tr w14:paraId="35972F6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jc w:val="center"/>
        </w:trPr>
        <w:tc>
          <w:tcPr>
            <w:tcW w:w="1500" w:type="dxa"/>
            <w:vAlign w:val="top"/>
          </w:tcPr>
          <w:p w14:paraId="6F827986">
            <w:r>
              <w:rPr>
                <w:b/>
              </w:rPr>
              <w:t>Sprint 1</w:t>
            </w:r>
          </w:p>
        </w:tc>
        <w:tc>
          <w:tcPr>
            <w:tcW w:w="2500" w:type="dxa"/>
            <w:vAlign w:val="top"/>
          </w:tcPr>
          <w:p w14:paraId="7166DA4B">
            <w:r>
              <w:t>Business analysis &amp; process structure</w:t>
            </w:r>
          </w:p>
        </w:tc>
        <w:tc>
          <w:tcPr>
            <w:tcW w:w="1900" w:type="dxa"/>
            <w:vAlign w:val="top"/>
          </w:tcPr>
          <w:p w14:paraId="086A50D9">
            <w:r>
              <w:t>S1-01…S1-03</w:t>
            </w:r>
          </w:p>
        </w:tc>
        <w:tc>
          <w:tcPr>
            <w:tcW w:w="4400" w:type="dxa"/>
            <w:vAlign w:val="top"/>
          </w:tcPr>
          <w:p w14:paraId="3B2352E0">
            <w:r>
              <w:t>Stakeholder &amp; dependency analysis; BPMN collaboration (4 processes, 7 lanes); executable skeleton</w:t>
            </w:r>
          </w:p>
        </w:tc>
        <w:tc>
          <w:tcPr>
            <w:tcW w:w="4260" w:type="dxa"/>
            <w:vAlign w:val="top"/>
          </w:tcPr>
          <w:p w14:paraId="5222D3F7">
            <w:r>
              <w:t>All Complete</w:t>
            </w:r>
          </w:p>
        </w:tc>
      </w:tr>
      <w:tr w14:paraId="269AB2D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jc w:val="center"/>
        </w:trPr>
        <w:tc>
          <w:tcPr>
            <w:tcW w:w="1500" w:type="dxa"/>
            <w:vAlign w:val="top"/>
          </w:tcPr>
          <w:p w14:paraId="2659E29A">
            <w:r>
              <w:rPr>
                <w:b/>
              </w:rPr>
              <w:t>Sprint 2</w:t>
            </w:r>
          </w:p>
        </w:tc>
        <w:tc>
          <w:tcPr>
            <w:tcW w:w="2500" w:type="dxa"/>
            <w:vAlign w:val="top"/>
          </w:tcPr>
          <w:p w14:paraId="159435D4">
            <w:r>
              <w:t>Forms, rules &amp; messages</w:t>
            </w:r>
          </w:p>
        </w:tc>
        <w:tc>
          <w:tcPr>
            <w:tcW w:w="1900" w:type="dxa"/>
            <w:vAlign w:val="top"/>
          </w:tcPr>
          <w:p w14:paraId="2AED78C0">
            <w:r>
              <w:t>S2-01…S2-04</w:t>
            </w:r>
          </w:p>
        </w:tc>
        <w:tc>
          <w:tcPr>
            <w:tcW w:w="4400" w:type="dxa"/>
            <w:vAlign w:val="top"/>
          </w:tcPr>
          <w:p w14:paraId="192A6C2C">
            <w:r>
              <w:t>24 forms &amp; bindings; 29 condition expressions; 20 messages / 21 flows; Boolean completeness fix</w:t>
            </w:r>
          </w:p>
        </w:tc>
        <w:tc>
          <w:tcPr>
            <w:tcW w:w="4260" w:type="dxa"/>
            <w:vAlign w:val="top"/>
          </w:tcPr>
          <w:p w14:paraId="27D8F104">
            <w:r>
              <w:t>3 Complete, S2-04 Passed</w:t>
            </w:r>
          </w:p>
        </w:tc>
      </w:tr>
      <w:tr w14:paraId="2B2E744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jc w:val="center"/>
        </w:trPr>
        <w:tc>
          <w:tcPr>
            <w:tcW w:w="1500" w:type="dxa"/>
            <w:vAlign w:val="top"/>
          </w:tcPr>
          <w:p w14:paraId="7B2DE68C">
            <w:r>
              <w:rPr>
                <w:b/>
              </w:rPr>
              <w:t>Sprint 3</w:t>
            </w:r>
          </w:p>
        </w:tc>
        <w:tc>
          <w:tcPr>
            <w:tcW w:w="2500" w:type="dxa"/>
            <w:vAlign w:val="top"/>
          </w:tcPr>
          <w:p w14:paraId="77BEC4C0">
            <w:r>
              <w:t>Workers &amp; automated verification</w:t>
            </w:r>
          </w:p>
        </w:tc>
        <w:tc>
          <w:tcPr>
            <w:tcW w:w="1900" w:type="dxa"/>
            <w:vAlign w:val="top"/>
          </w:tcPr>
          <w:p w14:paraId="0F5A6DD4">
            <w:r>
              <w:t>S3-01…S3-04</w:t>
            </w:r>
          </w:p>
        </w:tc>
        <w:tc>
          <w:tcPr>
            <w:tcW w:w="4400" w:type="dxa"/>
            <w:vAlign w:val="top"/>
          </w:tcPr>
          <w:p w14:paraId="417C37F3">
            <w:r>
              <w:t>24 JobWorker types; message publication &amp; correlation; 11 structural tests; process execution test</w:t>
            </w:r>
          </w:p>
        </w:tc>
        <w:tc>
          <w:tcPr>
            <w:tcW w:w="4260" w:type="dxa"/>
            <w:vAlign w:val="top"/>
          </w:tcPr>
          <w:p w14:paraId="6E29B46C">
            <w:r>
              <w:t>3 Complete, S3-04 Passed</w:t>
            </w:r>
          </w:p>
        </w:tc>
      </w:tr>
      <w:tr w14:paraId="6627C08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jc w:val="center"/>
        </w:trPr>
        <w:tc>
          <w:tcPr>
            <w:tcW w:w="1500" w:type="dxa"/>
            <w:vAlign w:val="top"/>
          </w:tcPr>
          <w:p w14:paraId="229E3DA5">
            <w:r>
              <w:rPr>
                <w:b/>
              </w:rPr>
              <w:t>Sprint 4</w:t>
            </w:r>
          </w:p>
        </w:tc>
        <w:tc>
          <w:tcPr>
            <w:tcW w:w="2500" w:type="dxa"/>
            <w:vAlign w:val="top"/>
          </w:tcPr>
          <w:p w14:paraId="40027BA6">
            <w:r>
              <w:t>Integration evidence &amp; submission</w:t>
            </w:r>
          </w:p>
        </w:tc>
        <w:tc>
          <w:tcPr>
            <w:tcW w:w="1900" w:type="dxa"/>
            <w:vAlign w:val="top"/>
          </w:tcPr>
          <w:p w14:paraId="58DB3512">
            <w:r>
              <w:t>S4-01…S4-04</w:t>
            </w:r>
          </w:p>
        </w:tc>
        <w:tc>
          <w:tcPr>
            <w:tcW w:w="4400" w:type="dxa"/>
            <w:vAlign w:val="top"/>
          </w:tcPr>
          <w:p w14:paraId="5D7B4904">
            <w:r>
              <w:t>End-to-end tests; AT-01…AT-21 executed; deployment/Worker evidence; clean versioned package</w:t>
            </w:r>
          </w:p>
        </w:tc>
        <w:tc>
          <w:tcPr>
            <w:tcW w:w="4260" w:type="dxa"/>
            <w:vAlign w:val="top"/>
          </w:tcPr>
          <w:p w14:paraId="33D5737E">
            <w:r>
              <w:t>All Passed</w:t>
            </w:r>
          </w:p>
        </w:tc>
      </w:tr>
    </w:tbl>
    <w:p w14:paraId="6895C569">
      <w:pPr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b/>
          <w:sz w:val="32"/>
        </w:rPr>
        <w:t>5. Risks, assumptions and exception handling</w:t>
      </w:r>
    </w:p>
    <w:tbl>
      <w:tblPr>
        <w:tblStyle w:val="2"/>
        <w:tblW w:w="14560" w:type="dxa"/>
        <w:jc w:val="center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</w:tblPr>
      <w:tblGrid>
        <w:gridCol w:w="3200"/>
        <w:gridCol w:w="4200"/>
        <w:gridCol w:w="4200"/>
        <w:gridCol w:w="2960"/>
      </w:tblGrid>
      <w:tr w14:paraId="5304D4E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tblHeader/>
          <w:jc w:val="center"/>
        </w:trPr>
        <w:tc>
          <w:tcPr>
            <w:tcW w:w="3200" w:type="dxa"/>
            <w:vAlign w:val="top"/>
          </w:tcPr>
          <w:p w14:paraId="0893B67D">
            <w:pPr>
              <w:rPr>
                <w:b/>
                <w:bCs/>
              </w:rPr>
            </w:pPr>
            <w:r>
              <w:rPr>
                <w:b/>
              </w:rPr>
              <w:t>Risk / exception</w:t>
            </w:r>
          </w:p>
        </w:tc>
        <w:tc>
          <w:tcPr>
            <w:tcW w:w="4200" w:type="dxa"/>
            <w:vAlign w:val="top"/>
          </w:tcPr>
          <w:p w14:paraId="4A827F10">
            <w:pPr>
              <w:rPr>
                <w:b/>
                <w:bCs/>
              </w:rPr>
            </w:pPr>
            <w:r>
              <w:rPr>
                <w:b/>
              </w:rPr>
              <w:t>Current behaviour</w:t>
            </w:r>
          </w:p>
        </w:tc>
        <w:tc>
          <w:tcPr>
            <w:tcW w:w="4200" w:type="dxa"/>
            <w:vAlign w:val="top"/>
          </w:tcPr>
          <w:p w14:paraId="6AA6AC3F">
            <w:pPr>
              <w:rPr>
                <w:b/>
                <w:bCs/>
              </w:rPr>
            </w:pPr>
            <w:r>
              <w:rPr>
                <w:b/>
              </w:rPr>
              <w:t>Required control</w:t>
            </w:r>
          </w:p>
        </w:tc>
        <w:tc>
          <w:tcPr>
            <w:tcW w:w="2960" w:type="dxa"/>
            <w:vAlign w:val="top"/>
          </w:tcPr>
          <w:p w14:paraId="5977C03B">
            <w:pPr>
              <w:rPr>
                <w:b/>
                <w:bCs/>
              </w:rPr>
            </w:pPr>
            <w:r>
              <w:rPr>
                <w:b/>
              </w:rPr>
              <w:t>Status</w:t>
            </w:r>
          </w:p>
        </w:tc>
      </w:tr>
      <w:tr w14:paraId="57245B3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jc w:val="center"/>
        </w:trPr>
        <w:tc>
          <w:tcPr>
            <w:tcW w:w="3200" w:type="dxa"/>
            <w:vAlign w:val="top"/>
          </w:tcPr>
          <w:p w14:paraId="67A99BAF">
            <w:r>
              <w:t>External Worker failure</w:t>
            </w:r>
          </w:p>
        </w:tc>
        <w:tc>
          <w:tcPr>
            <w:tcW w:w="4200" w:type="dxa"/>
            <w:vAlign w:val="top"/>
          </w:tcPr>
          <w:p w14:paraId="7B493829">
            <w:r>
              <w:t>Retry or incident, no explicit boundary route</w:t>
            </w:r>
          </w:p>
        </w:tc>
        <w:tc>
          <w:tcPr>
            <w:tcW w:w="4200" w:type="dxa"/>
            <w:vAlign w:val="top"/>
          </w:tcPr>
          <w:p w14:paraId="45F05AF7">
            <w:r>
              <w:t>Bound retries, log error, assign operator; retry only idempotent work</w:t>
            </w:r>
          </w:p>
        </w:tc>
        <w:tc>
          <w:tcPr>
            <w:tcW w:w="2960" w:type="dxa"/>
            <w:vAlign w:val="top"/>
          </w:tcPr>
          <w:p w14:paraId="597F3B7B">
            <w:r>
              <w:t>Controlled by procedure</w:t>
            </w:r>
          </w:p>
        </w:tc>
      </w:tr>
      <w:tr w14:paraId="6924B85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jc w:val="center"/>
        </w:trPr>
        <w:tc>
          <w:tcPr>
            <w:tcW w:w="3200" w:type="dxa"/>
            <w:vAlign w:val="top"/>
          </w:tcPr>
          <w:p w14:paraId="1049E1DC">
            <w:r>
              <w:t>Message not received</w:t>
            </w:r>
          </w:p>
        </w:tc>
        <w:tc>
          <w:tcPr>
            <w:tcW w:w="4200" w:type="dxa"/>
            <w:vAlign w:val="top"/>
          </w:tcPr>
          <w:p w14:paraId="13820FF0">
            <w:r>
              <w:t>Receiver waits / no new instance</w:t>
            </w:r>
          </w:p>
        </w:tc>
        <w:tc>
          <w:tcPr>
            <w:tcW w:w="4200" w:type="dxa"/>
            <w:vAlign w:val="top"/>
          </w:tcPr>
          <w:p w14:paraId="5E6AA00D">
            <w:r>
              <w:t xml:space="preserve">Verify subscription &amp; </w:t>
            </w:r>
            <w:r>
              <w:t>correlationKey</w:t>
            </w:r>
            <w:r>
              <w:t xml:space="preserve"> before controlled republish</w:t>
            </w:r>
          </w:p>
        </w:tc>
        <w:tc>
          <w:tcPr>
            <w:tcW w:w="2960" w:type="dxa"/>
            <w:vAlign w:val="top"/>
          </w:tcPr>
          <w:p w14:paraId="28CB1A0B">
            <w:r>
              <w:t>Controlled</w:t>
            </w:r>
          </w:p>
        </w:tc>
      </w:tr>
      <w:tr w14:paraId="1474A69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jc w:val="center"/>
        </w:trPr>
        <w:tc>
          <w:tcPr>
            <w:tcW w:w="3200" w:type="dxa"/>
            <w:vAlign w:val="top"/>
          </w:tcPr>
          <w:p w14:paraId="16C8F45E">
            <w:r>
              <w:t>Payment / funding timeout</w:t>
            </w:r>
          </w:p>
        </w:tc>
        <w:tc>
          <w:tcPr>
            <w:tcW w:w="4200" w:type="dxa"/>
            <w:vAlign w:val="top"/>
          </w:tcPr>
          <w:p w14:paraId="6AACAFD8">
            <w:r>
              <w:t>No timer event modelled</w:t>
            </w:r>
          </w:p>
        </w:tc>
        <w:tc>
          <w:tcPr>
            <w:tcW w:w="4200" w:type="dxa"/>
            <w:vAlign w:val="top"/>
          </w:tcPr>
          <w:p w14:paraId="6F9DEAE5">
            <w:r>
              <w:t>Service deadline → notify Finance → manual review</w:t>
            </w:r>
          </w:p>
        </w:tc>
        <w:tc>
          <w:tcPr>
            <w:tcW w:w="2960" w:type="dxa"/>
            <w:vAlign w:val="top"/>
          </w:tcPr>
          <w:p w14:paraId="006C624D">
            <w:r>
              <w:rPr>
                <w:b/>
              </w:rPr>
              <w:t>Deferred (residual risk)</w:t>
            </w:r>
          </w:p>
        </w:tc>
      </w:tr>
      <w:tr w14:paraId="4BE12C0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jc w:val="center"/>
        </w:trPr>
        <w:tc>
          <w:tcPr>
            <w:tcW w:w="3200" w:type="dxa"/>
            <w:vAlign w:val="top"/>
          </w:tcPr>
          <w:p w14:paraId="76C93DF2">
            <w:r>
              <w:t>Invalid form variable</w:t>
            </w:r>
          </w:p>
        </w:tc>
        <w:tc>
          <w:tcPr>
            <w:tcW w:w="4200" w:type="dxa"/>
            <w:vAlign w:val="top"/>
          </w:tcPr>
          <w:p w14:paraId="109C675F">
            <w:r>
              <w:t>Gateway may default or raise incident</w:t>
            </w:r>
          </w:p>
        </w:tc>
        <w:tc>
          <w:tcPr>
            <w:tcW w:w="4200" w:type="dxa"/>
            <w:vAlign w:val="top"/>
          </w:tcPr>
          <w:p w14:paraId="4802221A">
            <w:r>
              <w:t>Required fields, controlled values, type-consistent data</w:t>
            </w:r>
          </w:p>
        </w:tc>
        <w:tc>
          <w:tcPr>
            <w:tcW w:w="2960" w:type="dxa"/>
            <w:vAlign w:val="top"/>
          </w:tcPr>
          <w:p w14:paraId="5D6D9254">
            <w:r>
              <w:t>Mitigated by validation</w:t>
            </w:r>
          </w:p>
        </w:tc>
      </w:tr>
      <w:tr w14:paraId="109B8BD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jc w:val="center"/>
        </w:trPr>
        <w:tc>
          <w:tcPr>
            <w:tcW w:w="3200" w:type="dxa"/>
            <w:vAlign w:val="top"/>
          </w:tcPr>
          <w:p w14:paraId="0BAEB4DA">
            <w:r>
              <w:t>Repeated Worker execution</w:t>
            </w:r>
          </w:p>
        </w:tc>
        <w:tc>
          <w:tcPr>
            <w:tcW w:w="4200" w:type="dxa"/>
            <w:vAlign w:val="top"/>
          </w:tcPr>
          <w:p w14:paraId="17F47E9D">
            <w:r>
              <w:t>Retry may republish message</w:t>
            </w:r>
          </w:p>
        </w:tc>
        <w:tc>
          <w:tcPr>
            <w:tcW w:w="4200" w:type="dxa"/>
            <w:vAlign w:val="top"/>
          </w:tcPr>
          <w:p w14:paraId="3B4F1BF2">
            <w:r>
              <w:t>correlationKey</w:t>
            </w:r>
            <w:r>
              <w:t xml:space="preserve"> + operation ID + idempotent updates</w:t>
            </w:r>
          </w:p>
        </w:tc>
        <w:tc>
          <w:tcPr>
            <w:tcW w:w="2960" w:type="dxa"/>
            <w:vAlign w:val="top"/>
          </w:tcPr>
          <w:p w14:paraId="05CD723C">
            <w:r>
              <w:t>Controlled</w:t>
            </w:r>
          </w:p>
        </w:tc>
      </w:tr>
      <w:tr w14:paraId="69CD59E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jc w:val="center"/>
        </w:trPr>
        <w:tc>
          <w:tcPr>
            <w:tcW w:w="3200" w:type="dxa"/>
            <w:vAlign w:val="top"/>
          </w:tcPr>
          <w:p w14:paraId="73CBD471">
            <w:r>
              <w:t>Missing-information delay</w:t>
            </w:r>
          </w:p>
        </w:tc>
        <w:tc>
          <w:tcPr>
            <w:tcW w:w="4200" w:type="dxa"/>
            <w:vAlign w:val="top"/>
          </w:tcPr>
          <w:p w14:paraId="1AF0FF42">
            <w:r>
              <w:t>Process waits without a timer</w:t>
            </w:r>
          </w:p>
        </w:tc>
        <w:tc>
          <w:tcPr>
            <w:tcW w:w="4200" w:type="dxa"/>
            <w:vAlign w:val="top"/>
          </w:tcPr>
          <w:p w14:paraId="34755A8E">
            <w:r>
              <w:t>Reminder/escalation/closure deadlines</w:t>
            </w:r>
          </w:p>
        </w:tc>
        <w:tc>
          <w:tcPr>
            <w:tcW w:w="2960" w:type="dxa"/>
            <w:vAlign w:val="top"/>
          </w:tcPr>
          <w:p w14:paraId="2622EBA3">
            <w:r>
              <w:rPr>
                <w:b/>
              </w:rPr>
              <w:t>Deferred (residual risk)</w:t>
            </w:r>
          </w:p>
        </w:tc>
      </w:tr>
      <w:tr w14:paraId="4E0DAFC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jc w:val="center"/>
        </w:trPr>
        <w:tc>
          <w:tcPr>
            <w:tcW w:w="3200" w:type="dxa"/>
            <w:vAlign w:val="top"/>
          </w:tcPr>
          <w:p w14:paraId="41EC8245">
            <w:r>
              <w:t>Manual intervention</w:t>
            </w:r>
          </w:p>
        </w:tc>
        <w:tc>
          <w:tcPr>
            <w:tcW w:w="4200" w:type="dxa"/>
            <w:vAlign w:val="top"/>
          </w:tcPr>
          <w:p w14:paraId="603587B8">
            <w:r>
              <w:t>No explicit escalation subprocess</w:t>
            </w:r>
          </w:p>
        </w:tc>
        <w:tc>
          <w:tcPr>
            <w:tcW w:w="4200" w:type="dxa"/>
            <w:vAlign w:val="top"/>
          </w:tcPr>
          <w:p w14:paraId="171FFB5C">
            <w:r>
              <w:t>Document authorised correction, audit note, retry decision</w:t>
            </w:r>
          </w:p>
        </w:tc>
        <w:tc>
          <w:tcPr>
            <w:tcW w:w="2960" w:type="dxa"/>
            <w:vAlign w:val="top"/>
          </w:tcPr>
          <w:p w14:paraId="68559A9E">
            <w:r>
              <w:t>Controlled by procedure</w:t>
            </w:r>
          </w:p>
        </w:tc>
      </w:tr>
      <w:tr w14:paraId="1ED15F7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80" w:type="dxa"/>
            <w:left w:w="110" w:type="dxa"/>
            <w:bottom w:w="80" w:type="dxa"/>
            <w:right w:w="110" w:type="dxa"/>
          </w:tblCellMar>
        </w:tblPrEx>
        <w:trPr>
          <w:jc w:val="center"/>
        </w:trPr>
        <w:tc>
          <w:tcPr>
            <w:tcW w:w="3200" w:type="dxa"/>
            <w:vAlign w:val="top"/>
          </w:tcPr>
          <w:p w14:paraId="5A7CF96C">
            <w:r>
              <w:t>Technical exception model</w:t>
            </w:r>
          </w:p>
        </w:tc>
        <w:tc>
          <w:tcPr>
            <w:tcW w:w="4200" w:type="dxa"/>
            <w:vAlign w:val="top"/>
          </w:tcPr>
          <w:p w14:paraId="133EB4FF">
            <w:r>
              <w:t>No Boundary/Timer/Error events in BPMN</w:t>
            </w:r>
          </w:p>
        </w:tc>
        <w:tc>
          <w:tcPr>
            <w:tcW w:w="4200" w:type="dxa"/>
            <w:vAlign w:val="top"/>
          </w:tcPr>
          <w:p w14:paraId="20D49324">
            <w:r>
              <w:t>Documented controls; deferred until tested</w:t>
            </w:r>
          </w:p>
        </w:tc>
        <w:tc>
          <w:tcPr>
            <w:tcW w:w="2960" w:type="dxa"/>
            <w:vAlign w:val="top"/>
          </w:tcPr>
          <w:p w14:paraId="5666BABC">
            <w:r>
              <w:rPr>
                <w:b/>
              </w:rPr>
              <w:t>Deferred (residual risk)</w:t>
            </w:r>
          </w:p>
        </w:tc>
      </w:tr>
    </w:tbl>
    <w:p w14:paraId="2AD4F993">
      <w:r>
        <w:t xml:space="preserve">Key assumptions carried (2.7): Camunda 8.9-compatible client; one </w:t>
      </w:r>
      <w:r>
        <w:t>correlationKey</w:t>
      </w:r>
      <w:r>
        <w:t xml:space="preserve"> per pathway; auth outside the model; clinical/financial decisions by qualified users; external providers return one recognised result; final deployment includes BPMN + every referenced form.</w:t>
      </w:r>
    </w:p>
    <w:p w14:paraId="13DBF7A0">
      <w:pPr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b/>
          <w:sz w:val="32"/>
        </w:rPr>
        <w:t>6. Dependencies and integration</w:t>
      </w:r>
    </w:p>
    <w:p w14:paraId="69876E84">
      <w:r>
        <w:t>The model keeps Sequence Flow inside a participant and uses Message Flow across participants (Table 36). The Hospital process coordinates the shared pathway because clinical, administrative and financial work depends on a common referral state. Nine dependency rules from the brief are preserved and re-expressed as business rules BR-01…BR-13; each automated task type has exactly one matching Java Worker (TR-03) and each human task references one deployable form (TR-04). Acceptance scenarios AT-01…AT-21 exercise every dependency branch, and the integrated process test (TR-02) passed, so integration is demonstrated rather than merely claimed.</w:t>
      </w:r>
    </w:p>
    <w:p w14:paraId="40D4465A">
      <w:pPr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b/>
          <w:sz w:val="32"/>
        </w:rPr>
        <w:t>7. Critical findings and recommendations</w:t>
      </w:r>
    </w:p>
    <w:p w14:paraId="5383ABC4">
      <w:pPr>
        <w:numPr>
          <w:ilvl w:val="0"/>
          <w:numId w:val="2"/>
        </w:numPr>
      </w:pPr>
      <w:r>
        <w:rPr>
          <w:b/>
        </w:rPr>
        <w:t>Estimation discipline is missing.</w:t>
      </w:r>
      <w:r>
        <w:t xml:space="preserve"> The plan shows four sprints but no sizing. Adopt explicit effort or story-point estimates so future schedule variance can be measured.</w:t>
      </w:r>
    </w:p>
    <w:p w14:paraId="42E2296D">
      <w:pPr>
        <w:numPr>
          <w:ilvl w:val="0"/>
          <w:numId w:val="2"/>
        </w:numPr>
      </w:pPr>
      <w:r>
        <w:rPr>
          <w:b/>
        </w:rPr>
        <w:t>Technical exception handling is deferred.</w:t>
      </w:r>
      <w:r>
        <w:t xml:space="preserve"> Boundary/Timer/Error events and the related timeout/escalation controls are documented but not yet modelled; this is the single largest residual risk and should be the first item of any revised plan.</w:t>
      </w:r>
    </w:p>
    <w:p w14:paraId="341FCF09">
      <w:pPr>
        <w:numPr>
          <w:ilvl w:val="0"/>
          <w:numId w:val="2"/>
        </w:numPr>
      </w:pPr>
      <w:r>
        <w:rPr>
          <w:b/>
        </w:rPr>
        <w:t>Monitoring is test-based, not live.</w:t>
      </w:r>
      <w:r>
        <w:t xml:space="preserve"> The brief's "Monitor" phase is satisfied by automated verification evidence rather than runtime KPI tracking — acceptable for submission, but note it as a gap against the full BPM lifecycle.</w:t>
      </w:r>
    </w:p>
    <w:p w14:paraId="2E31FE9E">
      <w:pPr>
        <w:numPr>
          <w:ilvl w:val="0"/>
          <w:numId w:val="2"/>
        </w:numPr>
      </w:pPr>
      <w:r>
        <w:rPr>
          <w:b/>
        </w:rPr>
        <w:t>Evidence status is slightly inconsistent.</w:t>
      </w:r>
      <w:r>
        <w:t xml:space="preserve"> PE-07/PE-08 read </w:t>
      </w:r>
      <w:r>
        <w:rPr>
          <w:i/>
        </w:rPr>
        <w:t>Required</w:t>
      </w:r>
      <w:r>
        <w:t xml:space="preserve"> while E-07…E-10 read </w:t>
      </w:r>
      <w:r>
        <w:rPr>
          <w:i/>
        </w:rPr>
        <w:t>Existing</w:t>
      </w:r>
      <w:r>
        <w:t>; reconcile the evidence ledger before final audit.</w:t>
      </w:r>
    </w:p>
    <w:p w14:paraId="0C4AC2E2">
      <w:pPr>
        <w:numPr>
          <w:ilvl w:val="0"/>
          <w:numId w:val="2"/>
        </w:numPr>
      </w:pPr>
      <w:r>
        <w:rPr>
          <w:b/>
        </w:rPr>
        <w:t>Scope was held, not cut.</w:t>
      </w:r>
      <w:r>
        <w:t xml:space="preserve"> All </w:t>
      </w:r>
      <w:r>
        <w:rPr>
          <w:i/>
        </w:rPr>
        <w:t>Must</w:t>
      </w:r>
      <w:r>
        <w:t xml:space="preserve"> items delivered and the lone </w:t>
      </w:r>
      <w:r>
        <w:rPr>
          <w:i/>
        </w:rPr>
        <w:t>Should</w:t>
      </w:r>
      <w:r>
        <w:t xml:space="preserve"> item also implemented — a disciplined outcome worth stating explicitly in the evaluation.</w:t>
      </w:r>
    </w:p>
    <w:p w14:paraId="55464393">
      <w:pPr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b/>
          <w:sz w:val="32"/>
        </w:rPr>
        <w:t>8. Conclusion</w:t>
      </w:r>
    </w:p>
    <w:p w14:paraId="4CABA5A2">
      <w:r>
        <w:t xml:space="preserve">Against the supplied artefacts, the project's </w:t>
      </w:r>
      <w:r>
        <w:rPr>
          <w:b/>
        </w:rPr>
        <w:t>plan matched its requirements</w:t>
      </w:r>
      <w:r>
        <w:t xml:space="preserve"> and its </w:t>
      </w:r>
      <w:r>
        <w:rPr>
          <w:b/>
        </w:rPr>
        <w:t>actual progress matched its plan</w:t>
      </w:r>
      <w:r>
        <w:t xml:space="preserve">: scope, priorities, task allocation, dependencies, integration and sprint outcomes are all delivered and evidenced. The evaluation therefore converges on two recommendations for the </w:t>
      </w:r>
      <w:r>
        <w:rPr>
          <w:i/>
        </w:rPr>
        <w:t>revised</w:t>
      </w:r>
      <w:r>
        <w:t xml:space="preserve"> plan — introduce quantitative estimates, and close the deferred technical exception-handling gap — while recording that the BPM "Analyse/Monitor" phases remain only partially realised.</w:t>
      </w:r>
    </w:p>
    <w:p w14:paraId="6B63982D">
      <w:bookmarkStart w:id="0" w:name="_GoBack"/>
      <w:bookmarkEnd w:id="0"/>
    </w:p>
    <w:sectPr>
      <w:pgSz w:w="16840" w:h="11900" w:orient="landscape"/>
      <w:pgMar w:top="1140" w:right="1140" w:bottom="1140" w:left="11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singleLevel"/>
    <w:tmpl w:val="CF092B84"/>
    <w:lvl w:ilvl="0" w:tentative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nsid w:val="0053208E"/>
    <w:multiLevelType w:val="singleLevel"/>
    <w:tmpl w:val="0053208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420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000000"/>
    <w:rsid w:val="1A9875E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1332</Words>
  <Characters>8588</Characters>
  <TotalTime>12</TotalTime>
  <ScaleCrop>false</ScaleCrop>
  <LinksUpToDate>false</LinksUpToDate>
  <CharactersWithSpaces>9782</CharactersWithSpaces>
  <Application>WPS Office_12.1.0.29161_F1E327BC-269C-435d-A152-05C5408002CA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2026-10-20T17:17:00Z</dcterms:created>
  <dc:creator>HUAWEI</dc:creator>
  <cp:lastModifiedBy>YAO</cp:lastModifiedBy>
  <dcterms:modified xsi:type="dcterms:W3CDTF">2026-10-20T10:06:22Z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eyJoZGlkIjoiMzEwNTM5NzYwMDRjMzkwZTVkZjY2ODkwMGIxNGU0OTUiLCJ1c2VySWQiOiI4NjU4NDE0MDMifQ==</vt:lpwstr>
  </property>
  <property fmtid="{D5CDD505-2E9C-101B-9397-08002B2CF9AE}" pid="3" name="KSOProductBuildVer">
    <vt:lpwstr>2052-12.1.0.29161</vt:lpwstr>
  </property>
  <property fmtid="{D5CDD505-2E9C-101B-9397-08002B2CF9AE}" pid="4" name="ICV">
    <vt:lpwstr>F73B1B0ADD774E4BBF4A82EA5006DE0F_12</vt:lpwstr>
  </property>
</Properties>
</file>