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708FF">
      <w:pPr>
        <w:pStyle w:val="31"/>
      </w:pPr>
      <w:bookmarkStart w:id="0" w:name="_GoBack"/>
      <w:r>
        <w:t>Requirements Traceability Matrix</w:t>
      </w:r>
    </w:p>
    <w:bookmarkEnd w:id="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1527"/>
        <w:gridCol w:w="2168"/>
        <w:gridCol w:w="1923"/>
        <w:gridCol w:w="1366"/>
        <w:gridCol w:w="1282"/>
      </w:tblGrid>
      <w:tr w14:paraId="2B10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D9E2F3"/>
          </w:tcPr>
          <w:p w14:paraId="4EF1151C">
            <w:pPr>
              <w:spacing w:after="0" w:line="240" w:lineRule="auto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2376" w:type="dxa"/>
            <w:shd w:val="clear" w:color="auto" w:fill="D9E2F3"/>
          </w:tcPr>
          <w:p w14:paraId="0B332ED5">
            <w:pPr>
              <w:spacing w:after="0" w:line="240" w:lineRule="auto"/>
            </w:pPr>
            <w:r>
              <w:rPr>
                <w:b/>
                <w:sz w:val="20"/>
              </w:rPr>
              <w:t>Functional Requirement</w:t>
            </w:r>
          </w:p>
        </w:tc>
        <w:tc>
          <w:tcPr>
            <w:tcW w:w="2376" w:type="dxa"/>
            <w:shd w:val="clear" w:color="auto" w:fill="D9E2F3"/>
          </w:tcPr>
          <w:p w14:paraId="55AD21BF">
            <w:pPr>
              <w:spacing w:after="0" w:line="240" w:lineRule="auto"/>
            </w:pPr>
            <w:r>
              <w:rPr>
                <w:b/>
                <w:sz w:val="20"/>
              </w:rPr>
              <w:t>i* (Strategic Model)</w:t>
            </w:r>
          </w:p>
        </w:tc>
        <w:tc>
          <w:tcPr>
            <w:tcW w:w="2520" w:type="dxa"/>
            <w:shd w:val="clear" w:color="auto" w:fill="D9E2F3"/>
          </w:tcPr>
          <w:p w14:paraId="2CEA780B">
            <w:pPr>
              <w:spacing w:after="0" w:line="240" w:lineRule="auto"/>
            </w:pPr>
            <w:r>
              <w:rPr>
                <w:b/>
                <w:sz w:val="20"/>
              </w:rPr>
              <w:t>BPMN v3 (Operational Model)</w:t>
            </w:r>
          </w:p>
        </w:tc>
        <w:tc>
          <w:tcPr>
            <w:tcW w:w="2448" w:type="dxa"/>
            <w:shd w:val="clear" w:color="auto" w:fill="D9E2F3"/>
          </w:tcPr>
          <w:p w14:paraId="41546D16">
            <w:pPr>
              <w:spacing w:after="0" w:line="240" w:lineRule="auto"/>
            </w:pPr>
            <w:r>
              <w:rPr>
                <w:b/>
                <w:sz w:val="20"/>
              </w:rPr>
              <w:t>Lecturer Feedback</w:t>
            </w:r>
          </w:p>
        </w:tc>
        <w:tc>
          <w:tcPr>
            <w:tcW w:w="1584" w:type="dxa"/>
            <w:shd w:val="clear" w:color="auto" w:fill="D9E2F3"/>
          </w:tcPr>
          <w:p w14:paraId="3C90EBD8">
            <w:pPr>
              <w:spacing w:after="0" w:line="240" w:lineRule="auto"/>
            </w:pPr>
            <w:r>
              <w:rPr>
                <w:b/>
                <w:sz w:val="20"/>
              </w:rPr>
              <w:t>Status</w:t>
            </w:r>
          </w:p>
        </w:tc>
      </w:tr>
      <w:tr w14:paraId="19EB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4F05BEEF">
            <w:pPr>
              <w:spacing w:after="0" w:line="240" w:lineRule="auto"/>
            </w:pPr>
            <w:r>
              <w:rPr>
                <w:sz w:val="18"/>
              </w:rPr>
              <w:t>R1</w:t>
            </w:r>
          </w:p>
        </w:tc>
        <w:tc>
          <w:tcPr>
            <w:tcW w:w="2376" w:type="dxa"/>
          </w:tcPr>
          <w:p w14:paraId="007CC2C0">
            <w:pPr>
              <w:spacing w:after="0" w:line="240" w:lineRule="auto"/>
            </w:pPr>
            <w:r>
              <w:rPr>
                <w:sz w:val="18"/>
              </w:rPr>
              <w:t>Referral submitted with complete and valid clinical information</w:t>
            </w:r>
          </w:p>
        </w:tc>
        <w:tc>
          <w:tcPr>
            <w:tcW w:w="2376" w:type="dxa"/>
          </w:tcPr>
          <w:p w14:paraId="50B95E70">
            <w:pPr>
              <w:spacing w:after="0" w:line="240" w:lineRule="auto"/>
            </w:pPr>
            <w:r>
              <w:rPr>
                <w:sz w:val="18"/>
              </w:rPr>
              <w:t>SD: Referring Organisation → Hospital, Resource 'Complete Referral Information'. SR: RO Task 'Submit referral request'; Soft-goal 'Accurate &amp; complete information'.</w:t>
            </w:r>
          </w:p>
        </w:tc>
        <w:tc>
          <w:tcPr>
            <w:tcW w:w="2520" w:type="dxa"/>
          </w:tcPr>
          <w:p w14:paraId="4256544D">
            <w:pPr>
              <w:spacing w:after="0" w:line="240" w:lineRule="auto"/>
            </w:pPr>
            <w:r>
              <w:rPr>
                <w:sz w:val="18"/>
              </w:rPr>
              <w:t>Pool Referring Organisation → 'Enter Referral Details' / 'Check Referral Documents' / 'Recheck Referral Documents'; DataObject 'Referral and Clinical Information'.</w:t>
            </w:r>
          </w:p>
        </w:tc>
        <w:tc>
          <w:tcPr>
            <w:tcW w:w="2448" w:type="dxa"/>
          </w:tcPr>
          <w:p w14:paraId="45268A0B">
            <w:pPr>
              <w:spacing w:after="0" w:line="240" w:lineRule="auto"/>
            </w:pPr>
            <w:r>
              <w:rPr>
                <w:sz w:val="18"/>
              </w:rPr>
              <w:t>Strengthen form validation to prevent missing or invalid inputs</w:t>
            </w:r>
          </w:p>
        </w:tc>
        <w:tc>
          <w:tcPr>
            <w:tcW w:w="1584" w:type="dxa"/>
          </w:tcPr>
          <w:p w14:paraId="1D32AF88">
            <w:pPr>
              <w:spacing w:after="0" w:line="240" w:lineRule="auto"/>
            </w:pPr>
            <w:r>
              <w:rPr>
                <w:sz w:val="18"/>
              </w:rPr>
              <w:t>Implemented (required-field &amp; format validation)</w:t>
            </w:r>
          </w:p>
        </w:tc>
      </w:tr>
      <w:tr w14:paraId="7189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00073F00">
            <w:pPr>
              <w:spacing w:after="0" w:line="240" w:lineRule="auto"/>
            </w:pPr>
            <w:r>
              <w:rPr>
                <w:sz w:val="18"/>
              </w:rPr>
              <w:t>R2</w:t>
            </w:r>
          </w:p>
        </w:tc>
        <w:tc>
          <w:tcPr>
            <w:tcW w:w="2376" w:type="dxa"/>
          </w:tcPr>
          <w:p w14:paraId="5C97C94F">
            <w:pPr>
              <w:spacing w:after="0" w:line="240" w:lineRule="auto"/>
            </w:pPr>
            <w:r>
              <w:rPr>
                <w:sz w:val="18"/>
              </w:rPr>
              <w:t>Hospital assesses, verifies and registers the incoming referral</w:t>
            </w:r>
          </w:p>
        </w:tc>
        <w:tc>
          <w:tcPr>
            <w:tcW w:w="2376" w:type="dxa"/>
          </w:tcPr>
          <w:p w14:paraId="0192D0BF">
            <w:pPr>
              <w:spacing w:after="0" w:line="240" w:lineRule="auto"/>
            </w:pPr>
            <w:r>
              <w:rPr>
                <w:sz w:val="18"/>
              </w:rPr>
              <w:t>SD: RO → Hospital, Goal 'Referral Handled &amp; Managed'. SR: Hospital Goal 'Assess &amp; admit referral'; Tasks 'Triage referral request', 'Verify referral completeness', 'Register patient'.</w:t>
            </w:r>
          </w:p>
        </w:tc>
        <w:tc>
          <w:tcPr>
            <w:tcW w:w="2520" w:type="dxa"/>
          </w:tcPr>
          <w:p w14:paraId="33B7F211">
            <w:pPr>
              <w:spacing w:after="0" w:line="240" w:lineRule="auto"/>
            </w:pPr>
            <w:r>
              <w:rPr>
                <w:sz w:val="18"/>
              </w:rPr>
              <w:t>Pool Hospital → lane Administrative and Appointment Team; exclusive gateways 'Referral Complete?', 'Clinical Referral Decision?'.</w:t>
            </w:r>
          </w:p>
        </w:tc>
        <w:tc>
          <w:tcPr>
            <w:tcW w:w="2448" w:type="dxa"/>
          </w:tcPr>
          <w:p w14:paraId="4387C392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35712D2B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1D08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3047C15F">
            <w:pPr>
              <w:spacing w:after="0" w:line="240" w:lineRule="auto"/>
            </w:pPr>
            <w:r>
              <w:rPr>
                <w:sz w:val="18"/>
              </w:rPr>
              <w:t>R3</w:t>
            </w:r>
          </w:p>
        </w:tc>
        <w:tc>
          <w:tcPr>
            <w:tcW w:w="2376" w:type="dxa"/>
          </w:tcPr>
          <w:p w14:paraId="46EFA2FA">
            <w:pPr>
              <w:spacing w:after="0" w:line="240" w:lineRule="auto"/>
            </w:pPr>
            <w:r>
              <w:rPr>
                <w:sz w:val="18"/>
              </w:rPr>
              <w:t>Patient receives diagnosis and treatment from the clinical team</w:t>
            </w:r>
          </w:p>
        </w:tc>
        <w:tc>
          <w:tcPr>
            <w:tcW w:w="2376" w:type="dxa"/>
          </w:tcPr>
          <w:p w14:paraId="0267E3BA">
            <w:pPr>
              <w:spacing w:after="0" w:line="240" w:lineRule="auto"/>
            </w:pPr>
            <w:r>
              <w:rPr>
                <w:sz w:val="18"/>
              </w:rPr>
              <w:t>SD: Patient → Hospital, Goal 'Receive Diagnosis &amp; Treatment'. SR: Patient Goal 'Get diagnosed and treated'; Hospital Goal 'Diagnose patient' (Tasks 'Clinical consultation', 'Order &amp; review tests').</w:t>
            </w:r>
          </w:p>
        </w:tc>
        <w:tc>
          <w:tcPr>
            <w:tcW w:w="2520" w:type="dxa"/>
          </w:tcPr>
          <w:p w14:paraId="61955CEB">
            <w:pPr>
              <w:spacing w:after="0" w:line="240" w:lineRule="auto"/>
            </w:pPr>
            <w:r>
              <w:rPr>
                <w:sz w:val="18"/>
              </w:rPr>
              <w:t>Pool Hospital → lane Clinical Team; exclusive gateways 'Consultation Outcome?', 'Clinical Referral Decision?', 'Treatment Review Outcome?'.</w:t>
            </w:r>
          </w:p>
        </w:tc>
        <w:tc>
          <w:tcPr>
            <w:tcW w:w="2448" w:type="dxa"/>
          </w:tcPr>
          <w:p w14:paraId="20A27048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51AD71F1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482A6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4C4EBCBE">
            <w:pPr>
              <w:spacing w:after="0" w:line="240" w:lineRule="auto"/>
            </w:pPr>
            <w:r>
              <w:rPr>
                <w:sz w:val="18"/>
              </w:rPr>
              <w:t>R4</w:t>
            </w:r>
          </w:p>
        </w:tc>
        <w:tc>
          <w:tcPr>
            <w:tcW w:w="2376" w:type="dxa"/>
          </w:tcPr>
          <w:p w14:paraId="48D7850B">
            <w:pPr>
              <w:spacing w:after="0" w:line="240" w:lineRule="auto"/>
            </w:pPr>
            <w:r>
              <w:rPr>
                <w:sz w:val="18"/>
              </w:rPr>
              <w:t>Informed consent is obtained before treatment</w:t>
            </w:r>
          </w:p>
        </w:tc>
        <w:tc>
          <w:tcPr>
            <w:tcW w:w="2376" w:type="dxa"/>
          </w:tcPr>
          <w:p w14:paraId="0C8C0498">
            <w:pPr>
              <w:spacing w:after="0" w:line="240" w:lineRule="auto"/>
            </w:pPr>
            <w:r>
              <w:rPr>
                <w:sz w:val="18"/>
              </w:rPr>
              <w:t>SD: Hospital → Patient, Goal 'Informed Consent Obtained'. SR: Patient Goal 'Give informed consent' (Task 'Review &amp; sign consent form'); Hospital Goal 'Obtain informed consent' (Task 'Collect signed consent').</w:t>
            </w:r>
          </w:p>
        </w:tc>
        <w:tc>
          <w:tcPr>
            <w:tcW w:w="2520" w:type="dxa"/>
          </w:tcPr>
          <w:p w14:paraId="36DCC11B">
            <w:pPr>
              <w:spacing w:after="0" w:line="240" w:lineRule="auto"/>
            </w:pPr>
            <w:r>
              <w:rPr>
                <w:sz w:val="18"/>
              </w:rPr>
              <w:t>Pool Patient → 'Patient Consent Decision?' exclusive gateway.</w:t>
            </w:r>
          </w:p>
        </w:tc>
        <w:tc>
          <w:tcPr>
            <w:tcW w:w="2448" w:type="dxa"/>
          </w:tcPr>
          <w:p w14:paraId="17AE18FE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0B84A9A5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6F4D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2BFD8B0E">
            <w:pPr>
              <w:spacing w:after="0" w:line="240" w:lineRule="auto"/>
            </w:pPr>
            <w:r>
              <w:rPr>
                <w:sz w:val="18"/>
              </w:rPr>
              <w:t>R5</w:t>
            </w:r>
          </w:p>
        </w:tc>
        <w:tc>
          <w:tcPr>
            <w:tcW w:w="2376" w:type="dxa"/>
          </w:tcPr>
          <w:p w14:paraId="6B236D90">
            <w:pPr>
              <w:spacing w:after="0" w:line="240" w:lineRule="auto"/>
            </w:pPr>
            <w:r>
              <w:rPr>
                <w:sz w:val="18"/>
              </w:rPr>
              <w:t>Appointment is scheduled and confirmed with the patient</w:t>
            </w:r>
          </w:p>
        </w:tc>
        <w:tc>
          <w:tcPr>
            <w:tcW w:w="2376" w:type="dxa"/>
          </w:tcPr>
          <w:p w14:paraId="7692E7A0">
            <w:pPr>
              <w:spacing w:after="0" w:line="240" w:lineRule="auto"/>
            </w:pPr>
            <w:r>
              <w:rPr>
                <w:sz w:val="18"/>
              </w:rPr>
              <w:t>SR: Hospital Task 'Schedule appointment'; Patient Task 'Attend appointment'; Soft-goal 'Convenient access'.</w:t>
            </w:r>
          </w:p>
        </w:tc>
        <w:tc>
          <w:tcPr>
            <w:tcW w:w="2520" w:type="dxa"/>
          </w:tcPr>
          <w:p w14:paraId="08B1CAC1">
            <w:pPr>
              <w:spacing w:after="0" w:line="240" w:lineRule="auto"/>
            </w:pPr>
            <w:r>
              <w:rPr>
                <w:sz w:val="18"/>
              </w:rPr>
              <w:t>Pool Hospital → lane Administrative and Appointment Team; exclusive gateways 'Suitable Appointment Available?', 'Appointment Confirmed?'.</w:t>
            </w:r>
          </w:p>
        </w:tc>
        <w:tc>
          <w:tcPr>
            <w:tcW w:w="2448" w:type="dxa"/>
          </w:tcPr>
          <w:p w14:paraId="458AE164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7D242D29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3F32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3989D1BF">
            <w:pPr>
              <w:spacing w:after="0" w:line="240" w:lineRule="auto"/>
            </w:pPr>
            <w:r>
              <w:rPr>
                <w:sz w:val="18"/>
              </w:rPr>
              <w:t>R6</w:t>
            </w:r>
          </w:p>
        </w:tc>
        <w:tc>
          <w:tcPr>
            <w:tcW w:w="2376" w:type="dxa"/>
          </w:tcPr>
          <w:p w14:paraId="2EA8D8BA">
            <w:pPr>
              <w:spacing w:after="0" w:line="240" w:lineRule="auto"/>
            </w:pPr>
            <w:r>
              <w:rPr>
                <w:sz w:val="18"/>
              </w:rPr>
              <w:t>Payment / funding information is collected and settled with the external provider</w:t>
            </w:r>
          </w:p>
        </w:tc>
        <w:tc>
          <w:tcPr>
            <w:tcW w:w="2376" w:type="dxa"/>
          </w:tcPr>
          <w:p w14:paraId="5F6FACAC">
            <w:pPr>
              <w:spacing w:after="0" w:line="240" w:lineRule="auto"/>
            </w:pPr>
            <w:r>
              <w:rPr>
                <w:sz w:val="18"/>
              </w:rPr>
              <w:t>SD: Patient → Hospital, Resource 'Payment / Funding Information'; Patient → External, Resource 'Payment Processed'; Hospital → External, Resources 'Funding Approval', 'Payment Settlement'.</w:t>
            </w:r>
          </w:p>
        </w:tc>
        <w:tc>
          <w:tcPr>
            <w:tcW w:w="2520" w:type="dxa"/>
          </w:tcPr>
          <w:p w14:paraId="5F316230">
            <w:pPr>
              <w:spacing w:after="0" w:line="240" w:lineRule="auto"/>
            </w:pPr>
            <w:r>
              <w:rPr>
                <w:sz w:val="18"/>
              </w:rPr>
              <w:t>Pool Hospital → lane Finance and Funding Team; Pool External Payment and Funding Providers; serviceTask 'Process Payment Transaction or Funding Approval'; inclusive 'Which Financial Actions Are Required?'; exclusive 'Payment or Funding Result?', 'Are All Applicable Financial Conditions Satisfied?'.</w:t>
            </w:r>
          </w:p>
        </w:tc>
        <w:tc>
          <w:tcPr>
            <w:tcW w:w="2448" w:type="dxa"/>
          </w:tcPr>
          <w:p w14:paraId="7FE738BB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0D1EDBB9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53EF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1B4C0694">
            <w:pPr>
              <w:spacing w:after="0" w:line="240" w:lineRule="auto"/>
            </w:pPr>
            <w:r>
              <w:rPr>
                <w:sz w:val="18"/>
              </w:rPr>
              <w:t>R7</w:t>
            </w:r>
          </w:p>
        </w:tc>
        <w:tc>
          <w:tcPr>
            <w:tcW w:w="2376" w:type="dxa"/>
          </w:tcPr>
          <w:p w14:paraId="7DE88705">
            <w:pPr>
              <w:spacing w:after="0" w:line="240" w:lineRule="auto"/>
            </w:pPr>
            <w:r>
              <w:rPr>
                <w:sz w:val="18"/>
              </w:rPr>
              <w:t>Core business logic is executed in workflow service tasks (service workers)</w:t>
            </w:r>
          </w:p>
        </w:tc>
        <w:tc>
          <w:tcPr>
            <w:tcW w:w="2376" w:type="dxa"/>
          </w:tcPr>
          <w:p w14:paraId="3AB68864">
            <w:pPr>
              <w:spacing w:after="0" w:line="240" w:lineRule="auto"/>
            </w:pPr>
            <w:r>
              <w:rPr>
                <w:sz w:val="18"/>
              </w:rPr>
              <w:t>SR: External actor Task 'Process Payment or Funding Request'; several internal Hospital Tasks correspond to service tasks.</w:t>
            </w:r>
          </w:p>
        </w:tc>
        <w:tc>
          <w:tcPr>
            <w:tcW w:w="2520" w:type="dxa"/>
          </w:tcPr>
          <w:p w14:paraId="4ED571F8">
            <w:pPr>
              <w:spacing w:after="0" w:line="240" w:lineRule="auto"/>
            </w:pPr>
            <w:r>
              <w:rPr>
                <w:sz w:val="18"/>
              </w:rPr>
              <w:t>5 serviceTasks (all isExecutable=true): 'Create Referral Record', 'Store Treatment Results', 'Record Clinical Decision', 'Store Treatment Request', 'Process Payment Transaction or Funding Approval'; all 4 processes isExecutable=true.</w:t>
            </w:r>
          </w:p>
        </w:tc>
        <w:tc>
          <w:tcPr>
            <w:tcW w:w="2448" w:type="dxa"/>
          </w:tcPr>
          <w:p w14:paraId="386B21EA">
            <w:pPr>
              <w:spacing w:after="0" w:line="240" w:lineRule="auto"/>
            </w:pPr>
            <w:r>
              <w:rPr>
                <w:sz w:val="18"/>
              </w:rPr>
              <w:t>Implement the required business logic in service workers</w:t>
            </w:r>
          </w:p>
        </w:tc>
        <w:tc>
          <w:tcPr>
            <w:tcW w:w="1584" w:type="dxa"/>
          </w:tcPr>
          <w:p w14:paraId="4B715D31">
            <w:pPr>
              <w:spacing w:after="0" w:line="240" w:lineRule="auto"/>
            </w:pPr>
            <w:r>
              <w:rPr>
                <w:sz w:val="18"/>
              </w:rPr>
              <w:t>Implemented (execution log E-AT-16)</w:t>
            </w:r>
          </w:p>
        </w:tc>
      </w:tr>
      <w:tr w14:paraId="6042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5AA216C2">
            <w:pPr>
              <w:spacing w:after="0" w:line="240" w:lineRule="auto"/>
            </w:pPr>
            <w:r>
              <w:rPr>
                <w:sz w:val="18"/>
              </w:rPr>
              <w:t>R8</w:t>
            </w:r>
          </w:p>
        </w:tc>
        <w:tc>
          <w:tcPr>
            <w:tcW w:w="2376" w:type="dxa"/>
          </w:tcPr>
          <w:p w14:paraId="3838F3BF">
            <w:pPr>
              <w:spacing w:after="0" w:line="240" w:lineRule="auto"/>
            </w:pPr>
            <w:r>
              <w:rPr>
                <w:sz w:val="18"/>
              </w:rPr>
              <w:t>Application data is persisted and can be retrieved</w:t>
            </w:r>
          </w:p>
        </w:tc>
        <w:tc>
          <w:tcPr>
            <w:tcW w:w="2376" w:type="dxa"/>
          </w:tcPr>
          <w:p w14:paraId="231F4354">
            <w:pPr>
              <w:spacing w:after="0" w:line="240" w:lineRule="auto"/>
            </w:pPr>
            <w:r>
              <w:rPr>
                <w:sz w:val="18"/>
              </w:rPr>
              <w:t>SR: Resource 'Patient Pathway Record' Needed-By Tasks 'Assess Referral' and 'Deliver Treatment and Follow-up'.</w:t>
            </w:r>
          </w:p>
        </w:tc>
        <w:tc>
          <w:tcPr>
            <w:tcW w:w="2520" w:type="dxa"/>
          </w:tcPr>
          <w:p w14:paraId="55E4EE12">
            <w:pPr>
              <w:spacing w:after="0" w:line="240" w:lineRule="auto"/>
            </w:pPr>
            <w:r>
              <w:rPr>
                <w:sz w:val="18"/>
              </w:rPr>
              <w:t>DataStore 'Patient Pathway Data Store'; DataObjects 'Treatment Results', 'Clinic Letter', 'Referral and Clinical Information', 'Financial Clearance'; writes via serviceTasks 'Store Treatment Results' / 'Create Referral Record'.</w:t>
            </w:r>
          </w:p>
        </w:tc>
        <w:tc>
          <w:tcPr>
            <w:tcW w:w="2448" w:type="dxa"/>
          </w:tcPr>
          <w:p w14:paraId="66EB4D9E">
            <w:pPr>
              <w:spacing w:after="0" w:line="240" w:lineRule="auto"/>
            </w:pPr>
            <w:r>
              <w:rPr>
                <w:sz w:val="18"/>
              </w:rPr>
              <w:t>Implement data persistence to store and retrieve application data</w:t>
            </w:r>
          </w:p>
        </w:tc>
        <w:tc>
          <w:tcPr>
            <w:tcW w:w="1584" w:type="dxa"/>
          </w:tcPr>
          <w:p w14:paraId="26E748E1">
            <w:pPr>
              <w:spacing w:after="0" w:line="240" w:lineRule="auto"/>
            </w:pPr>
            <w:r>
              <w:rPr>
                <w:sz w:val="18"/>
              </w:rPr>
              <w:t>Design level; runtime screenshots pending</w:t>
            </w:r>
          </w:p>
        </w:tc>
      </w:tr>
      <w:tr w14:paraId="6088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68BC78AF">
            <w:pPr>
              <w:spacing w:after="0" w:line="240" w:lineRule="auto"/>
            </w:pPr>
            <w:r>
              <w:rPr>
                <w:sz w:val="18"/>
              </w:rPr>
              <w:t>R9</w:t>
            </w:r>
          </w:p>
        </w:tc>
        <w:tc>
          <w:tcPr>
            <w:tcW w:w="2376" w:type="dxa"/>
          </w:tcPr>
          <w:p w14:paraId="11039B90">
            <w:pPr>
              <w:spacing w:after="0" w:line="240" w:lineRule="auto"/>
            </w:pPr>
            <w:r>
              <w:rPr>
                <w:sz w:val="18"/>
              </w:rPr>
              <w:t>Role-based access control separates the four parties</w:t>
            </w:r>
          </w:p>
        </w:tc>
        <w:tc>
          <w:tcPr>
            <w:tcW w:w="2376" w:type="dxa"/>
          </w:tcPr>
          <w:p w14:paraId="54270798">
            <w:pPr>
              <w:spacing w:after="0" w:line="240" w:lineRule="auto"/>
            </w:pPr>
            <w:r>
              <w:rPr>
                <w:sz w:val="18"/>
              </w:rPr>
              <w:t>SD: each Actor boundary is a role boundary; the 'Consent Decision' dependency Hospital→(Goal)→Patient marks the patient role.</w:t>
            </w:r>
          </w:p>
        </w:tc>
        <w:tc>
          <w:tcPr>
            <w:tcW w:w="2520" w:type="dxa"/>
          </w:tcPr>
          <w:p w14:paraId="087CBC90">
            <w:pPr>
              <w:spacing w:after="0" w:line="240" w:lineRule="auto"/>
            </w:pPr>
            <w:r>
              <w:rPr>
                <w:sz w:val="18"/>
              </w:rPr>
              <w:t>4 BPMN pools = 4 role types; Hospital pool has 4 internal lanes. Independent Process Definitions/Instances per party in Camunda Operate.</w:t>
            </w:r>
          </w:p>
        </w:tc>
        <w:tc>
          <w:tcPr>
            <w:tcW w:w="2448" w:type="dxa"/>
          </w:tcPr>
          <w:p w14:paraId="7D715ADC">
            <w:pPr>
              <w:spacing w:after="0" w:line="240" w:lineRule="auto"/>
            </w:pPr>
            <w:r>
              <w:rPr>
                <w:sz w:val="18"/>
              </w:rPr>
              <w:t>Implement role-based access control</w:t>
            </w:r>
          </w:p>
        </w:tc>
        <w:tc>
          <w:tcPr>
            <w:tcW w:w="1584" w:type="dxa"/>
          </w:tcPr>
          <w:p w14:paraId="3B2740C7">
            <w:pPr>
              <w:spacing w:after="0" w:line="240" w:lineRule="auto"/>
            </w:pPr>
            <w:r>
              <w:rPr>
                <w:sz w:val="18"/>
              </w:rPr>
              <w:t>Implemented (evidence E-10 / E-AT-02 / E-AT-08)</w:t>
            </w:r>
          </w:p>
        </w:tc>
      </w:tr>
      <w:tr w14:paraId="4AE5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426D8E83">
            <w:pPr>
              <w:spacing w:after="0" w:line="240" w:lineRule="auto"/>
            </w:pPr>
            <w:r>
              <w:rPr>
                <w:sz w:val="18"/>
              </w:rPr>
              <w:t>R10</w:t>
            </w:r>
          </w:p>
        </w:tc>
        <w:tc>
          <w:tcPr>
            <w:tcW w:w="2376" w:type="dxa"/>
          </w:tcPr>
          <w:p w14:paraId="2448A151">
            <w:pPr>
              <w:spacing w:after="0" w:line="240" w:lineRule="auto"/>
            </w:pPr>
            <w:r>
              <w:rPr>
                <w:sz w:val="18"/>
              </w:rPr>
              <w:t>Process paths branch and merge using appropriate gateways</w:t>
            </w:r>
          </w:p>
        </w:tc>
        <w:tc>
          <w:tcPr>
            <w:tcW w:w="2376" w:type="dxa"/>
          </w:tcPr>
          <w:p w14:paraId="0A945277">
            <w:pPr>
              <w:spacing w:after="0" w:line="240" w:lineRule="auto"/>
            </w:pPr>
            <w:r>
              <w:rPr>
                <w:sz w:val="18"/>
              </w:rPr>
              <w:t>SR: reflects AND/OR decomposition at the process layer (parallel = AND, branch = OR).</w:t>
            </w:r>
          </w:p>
        </w:tc>
        <w:tc>
          <w:tcPr>
            <w:tcW w:w="2520" w:type="dxa"/>
          </w:tcPr>
          <w:p w14:paraId="752DF9D4">
            <w:pPr>
              <w:spacing w:after="0" w:line="240" w:lineRule="auto"/>
            </w:pPr>
            <w:r>
              <w:rPr>
                <w:sz w:val="18"/>
              </w:rPr>
              <w:t>13 gateways: 11 exclusive, 1 inclusive, 1 parallel ('Start Treatment Authorisation and Financial Preparation').</w:t>
            </w:r>
          </w:p>
        </w:tc>
        <w:tc>
          <w:tcPr>
            <w:tcW w:w="2448" w:type="dxa"/>
          </w:tcPr>
          <w:p w14:paraId="463AF267">
            <w:pPr>
              <w:spacing w:after="0" w:line="240" w:lineRule="auto"/>
            </w:pPr>
            <w:r>
              <w:rPr>
                <w:sz w:val="18"/>
              </w:rPr>
              <w:t>Use merging gateways where appropriate to bring process paths together</w:t>
            </w:r>
          </w:p>
        </w:tc>
        <w:tc>
          <w:tcPr>
            <w:tcW w:w="1584" w:type="dxa"/>
          </w:tcPr>
          <w:p w14:paraId="0920E484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6502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6B94D0AE">
            <w:pPr>
              <w:spacing w:after="0" w:line="240" w:lineRule="auto"/>
            </w:pPr>
            <w:r>
              <w:rPr>
                <w:sz w:val="18"/>
              </w:rPr>
              <w:t>R11</w:t>
            </w:r>
          </w:p>
        </w:tc>
        <w:tc>
          <w:tcPr>
            <w:tcW w:w="2376" w:type="dxa"/>
          </w:tcPr>
          <w:p w14:paraId="164C7DC5">
            <w:pPr>
              <w:spacing w:after="0" w:line="240" w:lineRule="auto"/>
            </w:pPr>
            <w:r>
              <w:rPr>
                <w:sz w:val="18"/>
              </w:rPr>
              <w:t>Treatment outcome and clinic letter are returned to the referring organisation</w:t>
            </w:r>
          </w:p>
        </w:tc>
        <w:tc>
          <w:tcPr>
            <w:tcW w:w="2376" w:type="dxa"/>
          </w:tcPr>
          <w:p w14:paraId="65323879">
            <w:pPr>
              <w:spacing w:after="0" w:line="240" w:lineRule="auto"/>
            </w:pPr>
            <w:r>
              <w:rPr>
                <w:sz w:val="18"/>
              </w:rPr>
              <w:t>SD: RO → Hospital, Resource 'Treatment Outcome &amp; Clinic Letter'.</w:t>
            </w:r>
          </w:p>
        </w:tc>
        <w:tc>
          <w:tcPr>
            <w:tcW w:w="2520" w:type="dxa"/>
          </w:tcPr>
          <w:p w14:paraId="239AB8D1">
            <w:pPr>
              <w:spacing w:after="0" w:line="240" w:lineRule="auto"/>
            </w:pPr>
            <w:r>
              <w:rPr>
                <w:sz w:val="18"/>
              </w:rPr>
              <w:t>DataObject 'Clinic Letter'; serviceTask 'Store Treatment Results'; message flow back to Pool Referring Organisation.</w:t>
            </w:r>
          </w:p>
        </w:tc>
        <w:tc>
          <w:tcPr>
            <w:tcW w:w="2448" w:type="dxa"/>
          </w:tcPr>
          <w:p w14:paraId="1644558D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08FDD491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  <w:tr w14:paraId="1991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 w14:paraId="7D55514F">
            <w:pPr>
              <w:spacing w:after="0" w:line="240" w:lineRule="auto"/>
            </w:pPr>
            <w:r>
              <w:rPr>
                <w:sz w:val="18"/>
              </w:rPr>
              <w:t>R12</w:t>
            </w:r>
          </w:p>
        </w:tc>
        <w:tc>
          <w:tcPr>
            <w:tcW w:w="2376" w:type="dxa"/>
          </w:tcPr>
          <w:p w14:paraId="2DB9A5AF">
            <w:pPr>
              <w:spacing w:after="0" w:line="240" w:lineRule="auto"/>
            </w:pPr>
            <w:r>
              <w:rPr>
                <w:sz w:val="18"/>
              </w:rPr>
              <w:t>Treatment authorisation and financial preparation start in parallel</w:t>
            </w:r>
          </w:p>
        </w:tc>
        <w:tc>
          <w:tcPr>
            <w:tcW w:w="2376" w:type="dxa"/>
          </w:tcPr>
          <w:p w14:paraId="55EC88B2">
            <w:pPr>
              <w:spacing w:after="0" w:line="240" w:lineRule="auto"/>
            </w:pPr>
            <w:r>
              <w:rPr>
                <w:sz w:val="18"/>
              </w:rPr>
              <w:t>SR: Hospital Goal 'Deliver safe effective patient care'.</w:t>
            </w:r>
          </w:p>
        </w:tc>
        <w:tc>
          <w:tcPr>
            <w:tcW w:w="2520" w:type="dxa"/>
          </w:tcPr>
          <w:p w14:paraId="129747F2">
            <w:pPr>
              <w:spacing w:after="0" w:line="240" w:lineRule="auto"/>
            </w:pPr>
            <w:r>
              <w:rPr>
                <w:sz w:val="18"/>
              </w:rPr>
              <w:t>Parallel gateway 'Start Treatment Authorisation and Financial Preparation'; exclusive 'Treatment Authorisation Confirmed?', 'Clinical Decision Recorded?'.</w:t>
            </w:r>
          </w:p>
        </w:tc>
        <w:tc>
          <w:tcPr>
            <w:tcW w:w="2448" w:type="dxa"/>
          </w:tcPr>
          <w:p w14:paraId="5C88CEEF">
            <w:pPr>
              <w:spacing w:after="0" w:line="240" w:lineRule="auto"/>
            </w:pPr>
            <w:r>
              <w:rPr>
                <w:sz w:val="18"/>
              </w:rPr>
              <w:t>–</w:t>
            </w:r>
          </w:p>
        </w:tc>
        <w:tc>
          <w:tcPr>
            <w:tcW w:w="1584" w:type="dxa"/>
          </w:tcPr>
          <w:p w14:paraId="75EA6116">
            <w:pPr>
              <w:spacing w:after="0" w:line="240" w:lineRule="auto"/>
            </w:pPr>
            <w:r>
              <w:rPr>
                <w:sz w:val="18"/>
              </w:rPr>
              <w:t>Implemented</w:t>
            </w:r>
          </w:p>
        </w:tc>
      </w:tr>
    </w:tbl>
    <w:p w14:paraId="09237BC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2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721</Words>
  <Characters>4811</Characters>
  <Lines>0</Lines>
  <Paragraphs>0</Paragraphs>
  <TotalTime>0</TotalTime>
  <ScaleCrop>false</ScaleCrop>
  <LinksUpToDate>false</LinksUpToDate>
  <CharactersWithSpaces>5452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宙斯</cp:lastModifiedBy>
  <dcterms:modified xsi:type="dcterms:W3CDTF">2026-10-20T09:40:18Z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eyJoZGlkIjoiOTZkM2I0NDE2MzMxOTFlZDMzYzczYjNiYWRlMmU5YWEiLCJ1c2VySWQiOiI2Njg2NDA3MTYifQ==</vt:lpwstr>
  </property>
  <property fmtid="{D5CDD505-2E9C-101B-9397-08002B2CF9AE}" pid="3" name="KSOProductBuildVer">
    <vt:lpwstr>2052-12.1.0.28802</vt:lpwstr>
  </property>
  <property fmtid="{D5CDD505-2E9C-101B-9397-08002B2CF9AE}" pid="4" name="ICV">
    <vt:lpwstr>DF34969474154E54A858C1F2906DB2F5_12</vt:lpwstr>
  </property>
</Properties>
</file>