
<file path=[Content_Types].xml><?xml version="1.0" encoding="utf-8"?>
<Types xmlns="http://schemas.openxmlformats.org/package/2006/content-types">
  <Default Extension="rels" ContentType="application/vnd.openxmlformats-package.relationships+xml"/>
  <Default Extension="xml" ContentType="application/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5C59DE21">
      <w:pPr>
        <w:keepNext w:val="1"/>
        <w:keepLines w:val="1"/>
        <w:spacing w:before="100" w:beforeAutospacing="1" w:after="100" w:afterAutospacing="1"/>
        <w:outlineLvl w:val="0"/>
        <w:rPr>
          <w:kern w:val="44"/>
          <w:sz w:val="44"/>
          <w:szCs w:val="44"/>
        </w:rPr>
      </w:pPr>
      <w:r>
        <w:rPr>
          <w:rFonts w:hint="eastAsia"/>
          <w:b w:val="1"/>
          <w:sz w:val="44"/>
        </w:rPr>
        <w:t>案例研究：医院患者转诊、治疗与管理系统</w:t>
      </w:r>
    </w:p>
    <w:p w14:paraId="02B65C86">
      <w:r>
        <w:rPr>
          <w:rFonts w:hint="eastAsia"/>
        </w:rPr>
        <w:t>一家专科医疗服务机构对患者的管理贯穿其被全科医生（General Practitioner, GP）或其他医院转诊之后的全部环节，包括会诊、诊断、治疗、后续照护以及持续的沟通。该服务涉及医务秘书、门诊预约团队、电话接听团队、专科临床护士团队、专科临床护士行政支持团队、治疗与化疗预约团队、患者路径协调员、顾问医生（Consultant）、其他临床专业人员、财务团队以及行政管理团队。这些团队必须及时、准确地交换信息，同时明确区分临床决策、行政职责与财务活动。</w:t>
      </w:r>
    </w:p>
    <w:p w14:paraId="3F80600A">
      <w:r>
        <w:rPr>
          <w:rFonts w:hint="eastAsia"/>
        </w:rPr>
        <w:t>目前，信息的传递依赖于现有医院系统、电子表单、电子邮件、电话、信函以及人工维护的记录等多种方式的组合。这使得跟踪患者进展、发现延误以及保留完整的审计痕迹变得十分困难。因此，医院计划引入一套医院患者管理系统（Hospital Patient Administration System），以支持患者路径并改善各团队之间的协调。</w:t>
      </w:r>
    </w:p>
    <w:p w14:paraId="783D4CDD">
      <w:r>
        <w:rPr>
          <w:rFonts w:hint="eastAsia"/>
        </w:rPr>
        <w:t>当新患者被转诊至专科服务时，转诊材料首先由医务秘书接收。他们需要核查材料中是否包含应有的支持性信息，例如既往门诊信函、检查结果、诊断报告以及其他相关临床文件。医务秘书可以识别缺失的信息并向转诊机构索取，但不得评估患者的临床适宜性，也不得决定是否接受该转诊。</w:t>
      </w:r>
    </w:p>
    <w:p w14:paraId="790FD516">
      <w:r>
        <w:rPr>
          <w:rFonts w:hint="eastAsia"/>
        </w:rPr>
        <w:t>在核查完现有文件后，转诊材料会被送交相应的顾问医生进行临床审核。顾问医生可以接受该转诊、拒绝该转诊、要求补充信息，或将其转送至其他专科服务。决策的理由以及决策人的身份必须被记录。只有在获得授权的顾问医生接受转诊之后，才可以安排初诊预约（New Patient Appointment）。</w:t>
      </w:r>
    </w:p>
    <w:p w14:paraId="72B9FC08">
      <w:r>
        <w:rPr>
          <w:rFonts w:hint="eastAsia"/>
        </w:rPr>
        <w:t>转诊被接受后，门诊预约团队会收到一条预约请求，其中包含所需专科、预约优先级、期望时间范围以及患者的相关特殊需求。该团队必须使用医院的外部排班服务确定合适的预约，并在医院患者管理系统中确认该预约。通常通过外部信函服务寄出的信件通知患者。但是，如果预约将在未来两周内进行，则还必须通过电话联系患者。</w:t>
      </w:r>
    </w:p>
    <w:p w14:paraId="789776BD">
      <w:r>
        <w:rPr>
          <w:rFonts w:hint="eastAsia"/>
        </w:rPr>
        <w:t>每一次联系尝试及其结果都必须记录，因为电话可能无人接听、联系电话可能有误，或者患者可能要求改约其他时间。系统还必须考虑无法在正常行政时限内等待的紧急转诊，以及顾问医生要求的时段内没有合适预约可用的情形。</w:t>
      </w:r>
    </w:p>
    <w:p w14:paraId="2F80A8CC">
      <w:r>
        <w:rPr>
          <w:rFonts w:hint="eastAsia"/>
        </w:rPr>
        <w:t>当患者前来初诊预约就诊时，顾问医生和相关临床团队会对患者进行评估、讨论诊断并解释所有可选的治疗方案。如果患者同意继续治疗，顾问医生会记录患者的知情同意，并创建一份经授权的治疗预约申请（Treatment Booking Request）。该申请需写明拟实施的治疗、所需开始日期、治疗疗程的次数与频率、疗程之间所需的复查以及可能需要的特殊资源。凡未经相应临床专业人员完成填写并授权的申请，行政人员不得进行处理。</w:t>
      </w:r>
    </w:p>
    <w:p w14:paraId="6300A2B9">
      <w:r>
        <w:rPr>
          <w:rFonts w:hint="eastAsia"/>
        </w:rPr>
        <w:t>治疗与化疗预约团队接收经授权的申请并协调必要的预约。部分预约可利用医院内部设施安排，另一些则可能依赖外部治疗、实验室、影像或排班服务提供的可用资源。如果某项外部服务暂时不可用，预约必须保持待定状态，必须通知负责团队，且后续的尝试必须予以记录，同时不得产生重复预约。</w:t>
      </w:r>
    </w:p>
    <w:p w14:paraId="7C59B692">
      <w:r>
        <w:rPr>
          <w:rFonts w:hint="eastAsia"/>
        </w:rPr>
        <w:t>在确认治疗预约之前，系统必须判断患者的治疗是由医院资助、由经认可的保险公司或资助机构承担，还是需要患者自行付费。大多数符合条件的患者无需直接付费，但对自费患者、海外访客、可选服务或未被患者现有资助安排覆盖的治疗可能收费。凡需要资助批准的情形，财务团队必须记录负责的资助机构、授权编号、批准金额以及批准所附带的任何限制条件。</w:t>
      </w:r>
    </w:p>
    <w:p w14:paraId="22575AC7">
      <w:r>
        <w:rPr>
          <w:rFonts w:hint="eastAsia"/>
        </w:rPr>
        <w:t>当需要付费时，医院患者管理系统会计算或获取适用的费用，并向外部支付服务提供商（Payment Service Provider）发送安全的支付请求。患者可以在线完成支付、通过财务团队的授权人员电话支付，或通过其他经认可的支付渠道完成支付。外部支付服务提供商处理交易后，将支付状态、交易参考号、支付日期和金额返回给医院系统。医院患者管理系统不得存储患者的完整银行卡信息或其他不必要的财务细节。</w:t>
      </w:r>
    </w:p>
    <w:p w14:paraId="6683880B">
      <w:r>
        <w:rPr>
          <w:rFonts w:hint="eastAsia"/>
        </w:rPr>
        <w:t>需要预付费的治疗预约，在支付成功完成之前，或在记录了经授权的豁免、资助批准或付款安排之前，通常不得予以确认。如果支付被拒绝、取消、重复或一直未完成，必须通知患者及负责的行政团队。系统必须允许再次尝试支付，同时不得产生重复预约，也不得向患者重复收费。</w:t>
      </w:r>
    </w:p>
    <w:p w14:paraId="65640337">
      <w:r>
        <w:rPr>
          <w:rFonts w:hint="eastAsia"/>
        </w:rPr>
        <w:t>医院系统还必须处理这样一种情形：外部服务商已成功扣款，但因通信故障而未返回确认信息。在此类情况下，该交易必须被标记为待核查，而不是自动发起另一次支付。当延迟救治会对患者造成风险时，临床人员仍须能够授权紧急治疗，但在未经确认付款的情况下继续治疗的原因必须被记录，并提交财务团队作后续处理。</w:t>
      </w:r>
    </w:p>
    <w:p w14:paraId="72C980AC">
      <w:r>
        <w:rPr>
          <w:rFonts w:hint="eastAsia"/>
        </w:rPr>
        <w:t>在付款之后，如果治疗被取消、推迟或变更，由财务团队的一名授权人员决定是否应进行全额或部分退款。经批准的退款申请会被发送至外部支付服务提供商，其结果将记入患者的账户。临床人员可以提供与治疗决策相关的信息，但除非同时具备相应的财务权限，否则不得批准财务退款。同样，财务团队成员不得就治疗在临床上是否必要作出决定。系统必须在患者、转诊、治疗申请、预约、资助决定、支付交易以及任何后续退款之间维护可审计的关联关系，同时保持临床职责与财务职责的分离。</w:t>
      </w:r>
    </w:p>
    <w:p w14:paraId="1FD9F7A3">
      <w:r>
        <w:rPr>
          <w:rFonts w:hint="eastAsia"/>
        </w:rPr>
        <w:t>接受多个疗程化疗的患者，在后续每个疗程之前可能需要进行临床复查和血液检测。临床团队依据这些评估结果来决定患者是否在医学上适合继续治疗、治疗是否应当延迟，或是否应当变更治疗方案。这些属于临床决策，治疗预约团队、财务团队或任何其他行政人员均无权作出。</w:t>
      </w:r>
    </w:p>
    <w:p w14:paraId="79074042">
      <w:r>
        <w:rPr>
          <w:rFonts w:hint="eastAsia"/>
        </w:rPr>
        <w:t>当临床专业人员请求变更现有治疗安排时，必须通过系统提交一份经授权的治疗变更申请（Treatment Modification Request）。仅通过电子邮件、电话或非正式沟通提出的请求不得被处理，因为医院要求治疗变更必须经过正式授权、可追溯并可供审计。但是，系统也必须支持紧急情形，即出于患者安全考虑需要迅速推迟治疗的情况，同时须确保负责的临床医师随后记录并授权该决定。任何影响既有收费、资助批准或已完成支付的治疗变更，还必须提交财务团队，以便审查其财务影响。</w:t>
      </w:r>
    </w:p>
    <w:p w14:paraId="3301C8EF">
      <w:r>
        <w:rPr>
          <w:rFonts w:hint="eastAsia"/>
        </w:rPr>
        <w:t>初诊预约之后，患者会收到关于专科临床护士团队的信息以及相应的联系电话。患者可以联系该团队获取临床建议、治疗相关支持或有关自身病情的信息。患者也可以通过电话接听团队联系医院，该团队必须判断咨询事项属于行政、财务还是临床性质。</w:t>
      </w:r>
    </w:p>
    <w:p w14:paraId="62E5A80E">
      <w:r>
        <w:rPr>
          <w:rFonts w:hint="eastAsia"/>
        </w:rPr>
        <w:t>接线人员可以回答简单的行政问题，例如确认预约的日期、时间或地点，并可以将其他行政事务转交给相关团队。当财务与资助类咨询无法使用接线人员获得的授权信息予以解答时，必须转交财务团队。接线人员不得诊断病情、解读检查结果、推荐治疗或提供任何形式的临床建议。涉及临床事项的咨询必须转交给专科临床护士团队中具备相应资质的人员或其他经授权的临床专业人员。</w:t>
      </w:r>
    </w:p>
    <w:p w14:paraId="7E11774F">
      <w:r>
        <w:rPr>
          <w:rFonts w:hint="eastAsia"/>
        </w:rPr>
        <w:t>每一次咨询都必须被记录、分类、设定优先级并分派给适当的团队。记录应显示咨询的接收时间、处理人、被分派责任的团队、所提供的答复以及事项是否已得到解决。紧急临床问题必须立即标示出来，尽管医院尚未就判定紧急程度的完整规则达成一致。这将需要与相关利益相关者作进一步调查。</w:t>
      </w:r>
    </w:p>
    <w:p w14:paraId="5A2CE5CB">
      <w:r>
        <w:rPr>
          <w:rFonts w:hint="eastAsia"/>
        </w:rPr>
        <w:t>每次会诊之后，顾问医生会撰写一封门诊信函（Clinic Letter），描述会诊情况、诊断、临床发现、治疗决策、随访安排以及任何需要传达的指示。第一封此类信函称为初诊门诊信函（New Patient Clinic Letter）。顾问医生同时确定信函的目标收件人，其中可能包括患者本人、患者的全科医生、其他医院或医疗服务提供者，以及其他适当的专业人员。</w:t>
      </w:r>
    </w:p>
    <w:p w14:paraId="29F3412B">
      <w:r>
        <w:rPr>
          <w:rFonts w:hint="eastAsia"/>
        </w:rPr>
        <w:t>顾问医生始终对信函的临床内容负责，并必须在信函分发之前予以批准。信函一经批准，即对医务秘书开放，由其完成必要的行政核查、确认收件人，并通过经认可的沟通渠道安排分发。行政人员可以修正格式并更正行政性错误，但不得改变信函的临床含义。任何疑似临床错误必须退回顾问医生复核。</w:t>
      </w:r>
    </w:p>
    <w:p w14:paraId="3F92D773">
      <w:r>
        <w:rPr>
          <w:rFonts w:hint="eastAsia"/>
        </w:rPr>
        <w:t>门诊信函应在相关预约之日起七天内完成撰写、批准、处理并发送，使收件人通常能在约两周内收到信函。系统必须记录预约日期、顾问医生开始撰写和完成信函的日期、批准日期、医务秘书处理的日期，以及分发的日期与方式。</w:t>
      </w:r>
    </w:p>
    <w:p w14:paraId="26811608">
      <w:r>
        <w:rPr>
          <w:rFonts w:hint="eastAsia"/>
        </w:rPr>
        <w:t>如果信函在预约后超过七天仍未完成撰写或未获批准，则视为延误，必须纳入路径监控。患者路径协调员负责审查未完成的信函，并向顾问医生发出每周提醒。如果信函逾期超过一个月，该事项将上报行政管理经理，由其联系负责的顾问医生。如果逾期超过三个月，则上报相应的高层管理团队。</w:t>
      </w:r>
    </w:p>
    <w:p w14:paraId="6A74DBDF">
      <w:r>
        <w:rPr>
          <w:rFonts w:hint="eastAsia"/>
        </w:rPr>
        <w:t>系统必须防止在信函完成后不必要地重复生成提醒，支持授权人员记录延误的有效原因，并完整保留提醒、答复与升级处理的历史记录。</w:t>
      </w:r>
    </w:p>
    <w:p w14:paraId="4C6589CB">
      <w:r>
        <w:rPr>
          <w:rFonts w:hint="eastAsia"/>
        </w:rPr>
        <w:t>在会诊或治疗复查之后，顾问医生或其他经授权的临床专业人员可以申请随访预约。该申请被发送至门诊预约团队，并规定患者应在哪个时间段内接受复查。该团队使用外部排班服务安排预约，并通过适当的沟通渠道通知患者。如果在要求的时限内无法找到合适的预约，该病例必须被标示并转交相关路径团队处理，而不是在临床要求的时间段之外被悄然预约。</w:t>
      </w:r>
    </w:p>
    <w:p w14:paraId="204E5F6F">
      <w:r>
        <w:rPr>
          <w:rFonts w:hint="eastAsia"/>
        </w:rPr>
        <w:t>患者可能取消、拒绝或未赴约。医院必须记录这些事件，并决定是否提供新的预约、是否由临床团队审查患者的路径，或是否应通知转诊机构。如果付费预约被取消或改期，该病例还必须提交财务团队，以决定该款项应予保留、转入其他预约还是退还。虽然行政人员可以协调这些活动，但关于患者能否继续治疗、治疗是否应当延迟以及是否应当让患者出院的决定，仍由经授权的临床专业人员负责。</w:t>
      </w:r>
    </w:p>
    <w:p w14:paraId="11D83EBF">
      <w:r>
        <w:rPr>
          <w:rFonts w:hint="eastAsia"/>
        </w:rPr>
        <w:t>由于拟建的系统将处理敏感的个人、临床和财务信息，员工只能访问其角色所需的信息。系统必须对用户进行身份验证、实施基于角色的访问控制、保护与外部服务交换的信息，并记录重要操作，包括访问患者记录、转诊决策、预约变更、临床授权、信函批准、治疗变更、支付请求、资助决定以及退款。</w:t>
      </w:r>
    </w:p>
    <w:p w14:paraId="62F49817">
      <w:r>
        <w:rPr>
          <w:rFonts w:hint="eastAsia"/>
        </w:rPr>
        <w:t>审计记录必须标识每项操作的用户、日期、时间和性质，且不得被普通用户编辑。系统必须维护准确的患者身份识别信息，并降低从不同组织或外部服务接收信息时将记录关联到错误患者的风险。系统应保持足够的可用性，以支持时间敏感的临床、行政和财务工作，并须提供适当的程序，用于记录在系统或外部服务不可用期间完成的活动。</w:t>
      </w:r>
    </w:p>
    <w:p w14:paraId="7186BC36">
      <w:r>
        <w:rPr>
          <w:rFonts w:hint="eastAsia"/>
        </w:rPr>
        <w:t>管理层需要能够显示以下内容的报告：转诊量、未处理转诊、预约等待时间、未成功的患者联系尝试、延误的门诊信函、未解决的咨询、治疗预约延误、待处理的资助批准、失败或不完整的支付、待处理的退款以及单个患者路径的进展情况。临床人员担心大量的行政记录工作会减少用于患者照护的时间，而行政与财务管理者则需要足够的信息来证明问责、发现延误并达成运营目标。</w:t>
      </w:r>
    </w:p>
    <w:p w14:paraId="0D035B4C">
      <w:r>
        <w:rPr>
          <w:rFonts w:hint="eastAsia"/>
        </w:rPr>
        <w:t>患者期望及时的沟通以及对其个人和财务信息的保护，但有些患者可能偏好邮寄沟通，有些可能偏好数字化沟通，还有些患者可能需要无障碍格式、翻译支持或经授权代理人的协助。医院认识到这些期望之间可能存在冲突，且部分现有工作惯例在各团队之间并不一致。</w:t>
      </w:r>
    </w:p>
    <w:p w14:paraId="70ED36A1">
      <w:r>
        <w:rPr>
          <w:rFonts w:hint="eastAsia"/>
        </w:rPr>
        <w:t>该组织期望需求工程团队调查上述问题，识别利益相关者及其目标，考察临床、行政与财务团队之间的依赖关系和潜在冲突，确定每个阶段所需的信息与授权，分析与外部排班、信函、临床及支付服务的交互，识别可能出现的故障与延误，并为一套有效的医院患者管理系统提出功能性需求与非功能性需求。在案例信息不充分之处，团队应识别其中的模糊性，尽可能咨询相应的利益相关者（导师），并记录合理的假设。</w:t>
      </w:r>
    </w:p>
    <w:p w14:paraId="1135DD21"/>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2026-09-14T16:53:00Z</dcterms:created>
  <dcterms:modified xsi:type="dcterms:W3CDTF">2026-09-14T16:53:00Z</dcterms:modified>
</cp:coreProperties>
</file>