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98" w:lineRule="auto"/>
        <w:ind w:left="461" w:right="0" w:firstLine="0"/>
        <w:rPr/>
      </w:pPr>
      <w:r w:rsidDel="00000000" w:rsidR="00000000" w:rsidRPr="00000000">
        <w:rPr>
          <w:rtl w:val="0"/>
        </w:rPr>
        <w:t xml:space="preserve">1. PERCEPCIÓN MENSUAL.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116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 traballa con contrato indefinido, grupo profesional enxeñeiro (grupo de cotización 1); durante o mes de xaneiro do ano en curso percibe as remuneracións seguintes: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64" w:lineRule="auto"/>
        <w:ind w:left="102" w:right="5864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base: 2.500 €/mes. Plus idioma: 400 €/mes.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4" w:lineRule="auto"/>
        <w:ind w:left="102" w:right="5916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calidade: 300 €/mes. Plus título: 200 €/mes.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extraordinarias non estructurais: 120 €/mes.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2" w:right="118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dereito a tres pagas extraordinarias, cóbraas no mes de marzo, xuño e decembro por importe dos conceptos de salario base + plus de calidade. IRPF: 24%.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64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as bases de cotización, a base de retención por IRPF, o salario líquido a percibir e realiza a nómina correspondente.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280" w:top="1300" w:left="1600" w:right="1580" w:header="75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99" w:lineRule="auto"/>
        <w:ind w:left="461" w:right="0" w:firstLine="0"/>
        <w:rPr/>
      </w:pPr>
      <w:r w:rsidDel="00000000" w:rsidR="00000000" w:rsidRPr="00000000">
        <w:rPr>
          <w:rtl w:val="0"/>
        </w:rPr>
        <w:t xml:space="preserve">2. PERCEPCIÓN DIARIA.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2" w:right="121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 traballa con contrato indefinido, grupo profesional peón (grupo de cotización 10); durante o mes de maio (31 días) do ano en curso, percibe as remuneracións seguintes: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base: 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,04 €/día.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antigüidade: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,01 €/día.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extraordinarias estructurais: 150,25 €/mes.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2" w:right="116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dereito a tres pagas extra, cóbraas nos meses de marzo, xuño e decembro, equivalentes cada unha delas a 30 días de salario base + plus de antigüidade. IRPF: 11%.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64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as bases de cotización, a base de retención de IRPF, o salario líquido a percibir e realiza a nómina correspondente.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280" w:top="1300" w:left="1600" w:right="1580" w:header="75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4028122</wp:posOffset>
              </wp:positionH>
              <wp:positionV relativeFrom="page">
                <wp:posOffset>459423</wp:posOffset>
              </wp:positionV>
              <wp:extent cx="2472055" cy="3460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14735" y="3611725"/>
                        <a:ext cx="24625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TEMA 4 A NÓMINA. SUPOSTOS PRÁCTICOS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4028122</wp:posOffset>
              </wp:positionH>
              <wp:positionV relativeFrom="page">
                <wp:posOffset>459423</wp:posOffset>
              </wp:positionV>
              <wp:extent cx="2472055" cy="346075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2055" cy="346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26" w:lineRule="auto"/>
      <w:ind w:left="822" w:right="0" w:hanging="361"/>
    </w:pPr>
    <w:rPr>
      <w:rFonts w:ascii="Century Gothic" w:cs="Century Gothic" w:eastAsia="Century Gothic" w:hAnsi="Century Gothic"/>
      <w:b w:val="1"/>
      <w:i w:val="1"/>
      <w:sz w:val="23"/>
      <w:szCs w:val="23"/>
    </w:rPr>
  </w:style>
  <w:style w:type="paragraph" w:styleId="Heading2">
    <w:name w:val="heading 2"/>
    <w:basedOn w:val="Normal"/>
    <w:next w:val="Normal"/>
    <w:pPr>
      <w:ind w:left="102" w:right="0" w:firstLine="0"/>
    </w:pPr>
    <w:rPr>
      <w:rFonts w:ascii="Century Gothic" w:cs="Century Gothic" w:eastAsia="Century Gothic" w:hAnsi="Century Gothic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 w:line="240" w:lineRule="auto"/>
      <w:ind w:left="0" w:right="0" w:hanging="0"/>
      <w:jc w:val="left"/>
    </w:pPr>
    <w:rPr>
      <w:rFonts w:ascii="Century Gothic" w:cs="Century Gothic" w:eastAsia="Century Gothic" w:hAnsi="Century Gothic"/>
      <w:color w:val="auto"/>
      <w:kern w:val="0"/>
      <w:sz w:val="22"/>
      <w:szCs w:val="22"/>
      <w:lang w:bidi="es-ES" w:eastAsia="es-ES" w:val="es-ES"/>
    </w:rPr>
  </w:style>
  <w:style w:type="paragraph" w:styleId="Heading1">
    <w:name w:val="Heading 1"/>
    <w:basedOn w:val="Normal"/>
    <w:uiPriority w:val="1"/>
    <w:qFormat w:val="1"/>
    <w:pPr>
      <w:spacing w:after="0" w:before="226"/>
      <w:ind w:left="822" w:right="0" w:hanging="361"/>
      <w:outlineLvl w:val="1"/>
    </w:pPr>
    <w:rPr>
      <w:rFonts w:ascii="Century Gothic" w:cs="Century Gothic" w:eastAsia="Century Gothic" w:hAnsi="Century Gothic"/>
      <w:b w:val="1"/>
      <w:bCs w:val="1"/>
      <w:i w:val="1"/>
      <w:sz w:val="23"/>
      <w:szCs w:val="23"/>
      <w:lang w:bidi="es-ES" w:eastAsia="es-ES" w:val="es-ES"/>
    </w:rPr>
  </w:style>
  <w:style w:type="paragraph" w:styleId="Heading2">
    <w:name w:val="Heading 2"/>
    <w:basedOn w:val="Normal"/>
    <w:uiPriority w:val="1"/>
    <w:qFormat w:val="1"/>
    <w:pPr>
      <w:ind w:left="102" w:right="0" w:hanging="0"/>
      <w:outlineLvl w:val="2"/>
    </w:pPr>
    <w:rPr>
      <w:rFonts w:ascii="Century Gothic" w:cs="Century Gothic" w:eastAsia="Century Gothic" w:hAnsi="Century Gothic"/>
      <w:b w:val="1"/>
      <w:bCs w:val="1"/>
      <w:sz w:val="22"/>
      <w:szCs w:val="22"/>
      <w:lang w:bidi="es-ES"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rFonts w:cs="Century Gothic" w:eastAsia="Century Gothic"/>
      <w:b w:val="1"/>
      <w:bCs w:val="1"/>
      <w:i w:val="1"/>
      <w:spacing w:val="0"/>
      <w:w w:val="96"/>
      <w:sz w:val="23"/>
      <w:szCs w:val="23"/>
      <w:lang w:bidi="es-ES" w:eastAsia="es-ES" w:val="es-ES"/>
    </w:rPr>
  </w:style>
  <w:style w:type="character" w:styleId="ListLabel2">
    <w:name w:val="ListLabel 2"/>
    <w:qFormat w:val="1"/>
    <w:rPr>
      <w:lang w:bidi="es-ES" w:eastAsia="es-ES" w:val="es-ES"/>
    </w:rPr>
  </w:style>
  <w:style w:type="character" w:styleId="ListLabel3">
    <w:name w:val="ListLabel 3"/>
    <w:qFormat w:val="1"/>
    <w:rPr>
      <w:lang w:bidi="es-ES" w:eastAsia="es-ES" w:val="es-ES"/>
    </w:rPr>
  </w:style>
  <w:style w:type="character" w:styleId="ListLabel4">
    <w:name w:val="ListLabel 4"/>
    <w:qFormat w:val="1"/>
    <w:rPr>
      <w:lang w:bidi="es-ES" w:eastAsia="es-ES" w:val="es-ES"/>
    </w:rPr>
  </w:style>
  <w:style w:type="character" w:styleId="ListLabel5">
    <w:name w:val="ListLabel 5"/>
    <w:qFormat w:val="1"/>
    <w:rPr>
      <w:lang w:bidi="es-ES" w:eastAsia="es-ES" w:val="es-ES"/>
    </w:rPr>
  </w:style>
  <w:style w:type="character" w:styleId="ListLabel6">
    <w:name w:val="ListLabel 6"/>
    <w:qFormat w:val="1"/>
    <w:rPr>
      <w:lang w:bidi="es-ES" w:eastAsia="es-ES" w:val="es-ES"/>
    </w:rPr>
  </w:style>
  <w:style w:type="character" w:styleId="ListLabel7">
    <w:name w:val="ListLabel 7"/>
    <w:qFormat w:val="1"/>
    <w:rPr>
      <w:lang w:bidi="es-ES" w:eastAsia="es-ES" w:val="es-ES"/>
    </w:rPr>
  </w:style>
  <w:style w:type="character" w:styleId="ListLabel8">
    <w:name w:val="ListLabel 8"/>
    <w:qFormat w:val="1"/>
    <w:rPr>
      <w:lang w:bidi="es-ES" w:eastAsia="es-ES" w:val="es-ES"/>
    </w:rPr>
  </w:style>
  <w:style w:type="character" w:styleId="ListLabel9">
    <w:name w:val="ListLabel 9"/>
    <w:qFormat w:val="1"/>
    <w:rPr>
      <w:lang w:bidi="es-ES" w:eastAsia="es-ES" w:val="es-ES"/>
    </w:rPr>
  </w:style>
  <w:style w:type="character" w:styleId="ListLabel10">
    <w:name w:val="ListLabel 10"/>
    <w:qFormat w:val="1"/>
    <w:rPr>
      <w:rFonts w:cs="Century Gothic" w:eastAsia="Century Gothic"/>
      <w:b w:val="1"/>
      <w:bCs w:val="1"/>
      <w:i w:val="1"/>
      <w:spacing w:val="0"/>
      <w:w w:val="96"/>
      <w:sz w:val="23"/>
      <w:szCs w:val="23"/>
      <w:lang w:bidi="es-ES" w:eastAsia="es-ES" w:val="es-ES"/>
    </w:rPr>
  </w:style>
  <w:style w:type="character" w:styleId="ListLabel11">
    <w:name w:val="ListLabel 11"/>
    <w:qFormat w:val="1"/>
    <w:rPr>
      <w:lang w:bidi="es-ES" w:eastAsia="es-ES" w:val="es-ES"/>
    </w:rPr>
  </w:style>
  <w:style w:type="character" w:styleId="ListLabel12">
    <w:name w:val="ListLabel 12"/>
    <w:qFormat w:val="1"/>
    <w:rPr>
      <w:lang w:bidi="es-ES" w:eastAsia="es-ES" w:val="es-ES"/>
    </w:rPr>
  </w:style>
  <w:style w:type="character" w:styleId="ListLabel13">
    <w:name w:val="ListLabel 13"/>
    <w:qFormat w:val="1"/>
    <w:rPr>
      <w:lang w:bidi="es-ES" w:eastAsia="es-ES" w:val="es-ES"/>
    </w:rPr>
  </w:style>
  <w:style w:type="character" w:styleId="ListLabel14">
    <w:name w:val="ListLabel 14"/>
    <w:qFormat w:val="1"/>
    <w:rPr>
      <w:lang w:bidi="es-ES" w:eastAsia="es-ES" w:val="es-ES"/>
    </w:rPr>
  </w:style>
  <w:style w:type="character" w:styleId="ListLabel15">
    <w:name w:val="ListLabel 15"/>
    <w:qFormat w:val="1"/>
    <w:rPr>
      <w:lang w:bidi="es-ES" w:eastAsia="es-ES" w:val="es-ES"/>
    </w:rPr>
  </w:style>
  <w:style w:type="character" w:styleId="ListLabel16">
    <w:name w:val="ListLabel 16"/>
    <w:qFormat w:val="1"/>
    <w:rPr>
      <w:lang w:bidi="es-ES" w:eastAsia="es-ES" w:val="es-ES"/>
    </w:rPr>
  </w:style>
  <w:style w:type="character" w:styleId="ListLabel17">
    <w:name w:val="ListLabel 17"/>
    <w:qFormat w:val="1"/>
    <w:rPr>
      <w:lang w:bidi="es-ES" w:eastAsia="es-ES" w:val="es-ES"/>
    </w:rPr>
  </w:style>
  <w:style w:type="character" w:styleId="ListLabel18">
    <w:name w:val="ListLabel 18"/>
    <w:qFormat w:val="1"/>
    <w:rPr>
      <w:lang w:bidi="es-ES" w:eastAsia="es-ES" w:val="es-E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Century Gothic" w:cs="Century Gothic" w:eastAsia="Century Gothic" w:hAnsi="Century Gothic"/>
      <w:sz w:val="22"/>
      <w:szCs w:val="22"/>
      <w:lang w:bidi="es-ES" w:eastAsia="es-ES"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spacing w:after="0" w:before="226"/>
      <w:ind w:left="822" w:right="0" w:hanging="361"/>
    </w:pPr>
    <w:rPr>
      <w:rFonts w:ascii="Century Gothic" w:cs="Century Gothic" w:eastAsia="Century Gothic" w:hAnsi="Century Gothic"/>
      <w:lang w:bidi="es-ES" w:eastAsia="es-ES" w:val="es-ES"/>
    </w:rPr>
  </w:style>
  <w:style w:type="paragraph" w:styleId="TableParagraph">
    <w:name w:val="Table Paragraph"/>
    <w:basedOn w:val="Normal"/>
    <w:uiPriority w:val="1"/>
    <w:qFormat w:val="1"/>
    <w:pPr/>
    <w:rPr>
      <w:lang w:bidi="es-ES" w:eastAsia="es-ES" w:val="es-E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4qEWuezKQA1vYfq5aYvDHfHAkw==">AMUW2mXgarjT+rob0LTb+2xhapvII6AzwuLIMBa6PL+KbulClHOMbe08bGFKaKRbxaTA228Dz3G3jcr24XcjqHYnpJ9iwYC1/PpFoe1Ed/hR1x1LcSBMstc=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2020-11-24T08:31:01Z</dcterms:created>
  <dc:creator>MaRieTa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2020-07-09T00:00:00Z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