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Localiza un convenio colectivo autonómico, provincial o de empresa do teu sector e indica: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Nome do convenio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Tipo de convenio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Partes que acordan o convenio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Ámbito persoal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Ámbito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Ámbito territorial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Ámbito temporal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Forma, condicións e plazo de preaviso de denuncia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08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Composición da comisión paritaria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 mesmo convenio, localiza as cláusulas nas que se establece o sistema que hai que seguir ante un conflicto colectivo.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No sector da industria textil estanse producindo numerosas folgas pola situación de crise. As seguintes empresas levaron a cabo unha folga alegando distintos motivos. Sinala se as folgas son legais ou non e o porqué: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Macrotelas, S.A., os traballadores puxéronse en folga para cambiar os salarios do convenio que hai firmado ata o ano 2020.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Sensatextil, S.L., os seus traballadores acuden á folga en solidariedade coa empresa Macrotelas, S.A.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Ropatex, S.A., os traballadores van ir turnándose  una semana de folga por departamento, así so de deixan de cobrar una semana ao mes e a empresa non pode funcionar.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Ropalaboral, S.A., os traballadores coidan  que a culpa de que o sector esté así tena o Goberno, polo que fan folga parta que o Goberno dimita e convoque novas eleccións.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Fabricaratope, S.L., os traballadores decidiron que van traballar de forma minuciosa para que todo saia perfecto, revisando unha e outra vez os productos para que todo saia perfectamente.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 Sendo a liberdade sindical e a folga dous dereitos fundamentais dacordo coa Constitución Española;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través de qué tipo de norma deben regularse ambos?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Localiza a regulación normativa de cada un deles.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76" w:lineRule="auto"/>
      <w:rPr>
        <w:rFonts w:ascii="Calibri" w:cs="Calibri" w:eastAsia="Calibri" w:hAnsi="Calibri"/>
        <w:sz w:val="16"/>
        <w:szCs w:val="16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RA2. CE2.10. Se han identificado los órganos de representación de las personas trabajadoras en la empresa.</w:t>
    </w:r>
  </w:p>
  <w:p w:rsidR="00000000" w:rsidDel="00000000" w:rsidP="00000000" w:rsidRDefault="00000000" w:rsidRPr="00000000" w14:paraId="0000001D">
    <w:pPr>
      <w:spacing w:line="276" w:lineRule="auto"/>
      <w:rPr>
        <w:rFonts w:ascii="Calibri" w:cs="Calibri" w:eastAsia="Calibri" w:hAnsi="Calibri"/>
        <w:sz w:val="16"/>
        <w:szCs w:val="16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RA2. CE2.11. Se han analizado los conflictos colectivos en la emrpesa y los procedimientos de solución.</w:t>
    </w:r>
  </w:p>
  <w:p w:rsidR="00000000" w:rsidDel="00000000" w:rsidP="00000000" w:rsidRDefault="00000000" w:rsidRPr="00000000" w14:paraId="0000001E">
    <w:pPr>
      <w:spacing w:line="276" w:lineRule="auto"/>
      <w:rPr/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RA2. CE2.12. Se han identificado las características definitorias de los nuevos entornos de organización del trabajo.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  <w:t xml:space="preserve">Actividade nº3 Unidade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 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 %2)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