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</w:pPr>
      <w:r>
        <w:t>分析流程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数据源：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附件.xlsx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算法配置：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算法：
Pearson卡方检验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分析结果：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 xml:space="preserve">暂无数据 </w:t>
      </w:r>
    </w:p>
    <w:p>
      <w:pPr>
        <w:pStyle w:val="4"/>
        <w:widowControl/>
        <w:jc w:val="left"/>
      </w:pPr>
      <w:r>
        <w:t>分析步骤</w:t>
      </w:r>
      <w:bookmarkStart w:id="0" w:name="_GoBack"/>
      <w:bookmarkEnd w:id="0"/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1.
根据列联表的数据情况，分析Pearson卡方检验是否呈现显著性（P&lt;0.05，呈现显著性，拒绝原假设，则说明分类变量X与分类变量Y之间存在显著性差异）。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2.
若Pearson卡方检验呈现显著性，可接着根据效应指标对差异进行深入量化分析。</w:t>
      </w:r>
    </w:p>
    <w:p>
      <w:pPr>
        <w:pStyle w:val="4"/>
        <w:widowControl/>
      </w:pPr>
      <w:r>
        <w:t>详细结论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输出结果1：Pearson卡方检验结果</w:t>
      </w:r>
    </w:p>
    <w:tbl>
      <w:tblPr>
        <w:tblStyle w:val="10"/>
        <w:tblW w:w="3392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05"/>
        <w:gridCol w:w="989"/>
        <w:gridCol w:w="670"/>
        <w:gridCol w:w="670"/>
        <w:gridCol w:w="670"/>
        <w:gridCol w:w="598"/>
        <w:gridCol w:w="123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题目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gridSpan w:val="2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546" w:type="pct"/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488" w:type="pct"/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X²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铅钡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高钾</w:t>
            </w:r>
          </w:p>
        </w:tc>
        <w:tc>
          <w:tcPr>
            <w:tcW w:w="546" w:type="pct"/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tcW w:w="488" w:type="pct"/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表面风化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无风化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88" w:type="pct"/>
            <w:vMerge w:val="restart"/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6.88</w:t>
            </w:r>
          </w:p>
        </w:tc>
        <w:tc>
          <w:tcPr>
            <w:vMerge w:val="restart"/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0.009***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风化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88" w:type="pct"/>
            <w:vMerge w:val="continue"/>
            <w:tcBorders>
              <w:top w:val="nil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nil"/>
              <w:left w:val="nil"/>
              <w:bottom w:val="single" w:color="000000" w:sz="10" w:space="0"/>
              <w:right w:val="nil"/>
            </w:tcBorders>
          </w:tcPr>
          <w:p/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gridSpan w:val="2"/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46" w:type="pct"/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88" w:type="pct"/>
            <w:vMerge w:val="continue"/>
            <w:tcBorders>
              <w:top w:val="nil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nil"/>
              <w:left w:val="nil"/>
              <w:bottom w:val="single" w:color="000000" w:sz="10" w:space="0"/>
              <w:right w:val="nil"/>
            </w:tcBorders>
          </w:tcPr>
          <w:p/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left"/>
            </w:pPr>
            <w:r>
              <w:rPr>
                <w:sz w:val="18"/>
                <w:szCs w:val="18"/>
              </w:rPr>
              <w:t>注：***、**、*分别代表1%、5%、10%的显著性水平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上表展示了Pearson卡方检验的结果，包括数据的频数、卡方值、显著性P值。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若P&lt;0.05，呈现显著性，拒绝原假设，则说明分类变量X与分类变量Y之间存在显著性差异。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若P&gt;0.05，不呈现显著性，不拒绝原假设，不存在显著性差异。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智能分析：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Pearson卡方检验分析的结果显示，显著性P值为0.009***，水平上呈现显著性，拒绝原假设，因此类型和表面风化数据存在显著性差异。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输出结果2：交叉列联表热力图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2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上图展示了热力图的形式展示了交叉列联表的值，主要通过颜色深浅去表示值的大小。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输出结果3：效应量化分析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5"/>
        <w:gridCol w:w="683"/>
        <w:gridCol w:w="1527"/>
        <w:gridCol w:w="1173"/>
        <w:gridCol w:w="89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字段名/分析项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Phi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Crammer‘s V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列联系数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lambda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表面风化-类型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0.344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0.344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0.326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0.25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上表展示了效应量化分析的结果，包括phi、Crammer's V、列联系数、lambda ，用于分析样本的相关程度。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1. 当呈现出显著性差异（前提），结合分析效应量指标对差异性进行量化分析。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2. 效应量化指标反映的是变量之间的相关程度。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3. 根据交叉类型的不同，可以选用不同的效应量指标（交叉类型表示：交叉表横向格子数×纵向格子数）。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4. phi系数：phi相关系数的大小，表示两样本之间的关联程度。当phi系数小于0.3时，表示相关较弱；当phi系数大于0.6时，表示相关较强（用于2×2交叉类型表）。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5. Cramer's V：与phi系数作用相似，但Cramer's V系数的作用范围较广。当两个变量相互独立时，V=0，当数据中只有2个二分类变量时，Cramer's V系数的结果与phi相同（若m≠n，建议使用Cramer's V ）。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6. 列联系数：简称C系数，用于3×3或4×4交叉表，但其受行列数的影响，随着R和C 的增大而增大。因此根据不同的行列和计算的列联系数不便于比较，除非两个列联表中行数和列数一致。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7. lambda：用于反应自变量对因变量的预测效果，一般情况下，其值为1时表示自变量预测因变量效果较好，为0时表明自变量预测因变量较差（X或Y有定序数据时，建议使用lambda）。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智能分析：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效应量化分析的结果显示，分析项：表面风化Cramer's V值为0.344，因此类型和表面风化的差异程度为中等程度差异。</w:t>
      </w:r>
    </w:p>
    <w:p>
      <w:pPr>
        <w:pStyle w:val="4"/>
        <w:widowControl/>
      </w:pPr>
      <w:r>
        <w:t>参考文献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[1] Scientific Platform Serving for Statistics Professional 2021. SPSSPRO. (Version 1.0.11)[Online Application Software]. Retrieved from https://www.spsspro.com.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[2] 陆运清. 用 Pearson's 卡方统计量进行统计检验时应注意的问题[J]. 统计与决策, 2009 (15): 32-33.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ZWIxOGVlMzg0ZjYwYjkwYWZmNDFjMGJhZTgxODg4NjMifQ=="/>
  </w:docVars>
  <w:rsids>
    <w:rsidRoot w:val="00000000"/>
    <w:rsid w:val="1C570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2023-08-06T05:34:00Z</dcterms:created>
  <dc:creator>SPSSPRO</dc:creator>
  <cp:lastModifiedBy>aviculturetist</cp:lastModifiedBy>
  <dcterms:modified xsi:type="dcterms:W3CDTF">2023-08-06T05:53:12Z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DDAA5BE598CE481D8E2C0B99C7603B87_12</vt:lpwstr>
  </property>
</Properties>
</file>