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675BD">
      <w:pPr>
        <w:pStyle w:val="9"/>
      </w:pPr>
      <w:r>
        <w:t>《经济学模拟游戏：宏观经济政策决策者》</w:t>
      </w:r>
    </w:p>
    <w:p w14:paraId="14A5A5F7">
      <w:pPr>
        <w:pStyle w:val="16"/>
      </w:pPr>
      <w:r>
        <w:t>*以下是为你完善的作业内容，包含说明文档、代码结构说明及其他补充材料，可直接对照考核方案中的评分标准进行优化：
</w:t>
      </w:r>
    </w:p>
    <w:p w14:paraId="1FA7CB85">
      <w:pPr>
        <w:pStyle w:val="4"/>
      </w:pPr>
      <w:r>
        <w:rPr>
          <w:b/>
          <w:bCs/>
        </w:rPr>
        <w:t>经济学模拟游戏：宏观经济政策决策者</w:t>
      </w:r>
    </w:p>
    <w:p w14:paraId="03515C0A">
      <w:pPr>
        <w:pStyle w:val="16"/>
      </w:pPr>
      <w:r>
        <w:rPr>
          <w:b/>
          <w:bCs/>
        </w:rPr>
        <w:t>—— 基于 Python 的多政策交互模拟实验</w:t>
      </w:r>
    </w:p>
    <w:p w14:paraId="484E6CD8">
      <w:pPr>
        <w:pStyle w:val="5"/>
      </w:pPr>
      <w:r>
        <w:rPr>
          <w:b/>
          <w:bCs/>
        </w:rPr>
        <w:t>一、游戏背景与经济学原理应用</w:t>
      </w:r>
    </w:p>
    <w:p w14:paraId="344315F9">
      <w:pPr>
        <w:pStyle w:val="16"/>
      </w:pPr>
      <w:r>
        <w:rPr>
          <w:b/>
          <w:bCs/>
        </w:rPr>
        <w:t>1. 实验场景定位</w:t>
      </w:r>
      <w:r>
        <w:t>本游戏模拟国家宏观经济管理者（政府与央行）的决策场景，玩家通过调整</w:t>
      </w:r>
      <w:r>
        <w:rPr>
          <w:b/>
          <w:bCs/>
        </w:rPr>
        <w:t>财政政策（税收与支出）、货币政策（利率与货币供应）、贸易政策（关税与进出口导向）及市场价格机制</w:t>
      </w:r>
      <w:r>
        <w:t>，观察各政策对 GDP、失业率、通货膨胀率等核心经济指标的动态影响，理解宏观经济政策的传导机制与权衡取舍。
</w:t>
      </w:r>
    </w:p>
    <w:p w14:paraId="72B59A3C">
      <w:pPr>
        <w:pStyle w:val="16"/>
      </w:pPr>
      <w:r>
        <w:rPr>
          <w:b/>
          <w:bCs/>
        </w:rPr>
        <w:t>2. 核心经济学原理</w:t>
      </w:r>
    </w:p>
    <w:p w14:paraId="30160B3B">
      <w:pPr>
        <w:pStyle w:val="16"/>
        <w:numPr>
          <w:ilvl w:val="0"/>
          <w:numId w:val="1"/>
        </w:numPr>
      </w:pPr>
      <w:r>
        <w:rPr>
          <w:b/>
          <w:bCs/>
        </w:rPr>
        <w:t>供需平衡理论</w:t>
      </w:r>
      <w:r>
        <w:t>：价格调整直接影响市场需求与生产规模（如价格上升导致需求下降、GDP 缩水）。
</w:t>
      </w:r>
    </w:p>
    <w:p w14:paraId="12D3CBAB">
      <w:pPr>
        <w:pStyle w:val="16"/>
        <w:numPr>
          <w:ilvl w:val="0"/>
          <w:numId w:val="1"/>
        </w:numPr>
      </w:pPr>
      <w:r>
        <w:rPr>
          <w:b/>
          <w:bCs/>
        </w:rPr>
        <w:t>菲利普斯曲线</w:t>
      </w:r>
      <w:r>
        <w:t>：失业率与通货膨胀率之间的短期权衡关系（货币供应增加刺激经济但推高通胀）。
</w:t>
      </w:r>
    </w:p>
    <w:p w14:paraId="341308CE">
      <w:pPr>
        <w:pStyle w:val="16"/>
        <w:numPr>
          <w:ilvl w:val="0"/>
          <w:numId w:val="1"/>
        </w:numPr>
      </w:pPr>
      <w:r>
        <w:rPr>
          <w:b/>
          <w:bCs/>
        </w:rPr>
        <w:t>IS-LM 模型</w:t>
      </w:r>
      <w:r>
        <w:t>：利率变动通过影响投资需求进而作用于 GDP（高利率抑制投资，降低产出）。
</w:t>
      </w:r>
    </w:p>
    <w:p w14:paraId="3BBF3490">
      <w:pPr>
        <w:pStyle w:val="16"/>
        <w:numPr>
          <w:ilvl w:val="0"/>
          <w:numId w:val="1"/>
        </w:numPr>
      </w:pPr>
      <w:r>
        <w:rPr>
          <w:b/>
          <w:bCs/>
        </w:rPr>
        <w:t>财政乘数效应</w:t>
      </w:r>
      <w:r>
        <w:t>：公共支出增加对 GDP 的倍数拉动作用（如 1 单位支出带动 0.7 单位 GDP 增长）。
</w:t>
      </w:r>
    </w:p>
    <w:p w14:paraId="3A17E4C9">
      <w:pPr>
        <w:pStyle w:val="16"/>
        <w:numPr>
          <w:ilvl w:val="0"/>
          <w:numId w:val="1"/>
        </w:numPr>
      </w:pPr>
      <w:r>
        <w:rPr>
          <w:b/>
          <w:bCs/>
        </w:rPr>
        <w:t>关税与贸易政策</w:t>
      </w:r>
      <w:r>
        <w:t>：关税高低与贸易导向（出口 / 进口限制）对国际贸易和国内就业的影响。
</w:t>
      </w:r>
    </w:p>
    <w:p w14:paraId="3A2556B7">
      <w:pPr>
        <w:pStyle w:val="5"/>
      </w:pPr>
      <w:r>
        <w:rPr>
          <w:b/>
          <w:bCs/>
        </w:rPr>
        <w:t>二、游戏核心玩法与机制说明</w:t>
      </w:r>
    </w:p>
    <w:p w14:paraId="6023437F">
      <w:pPr>
        <w:pStyle w:val="16"/>
      </w:pPr>
      <w:r>
        <w:rPr>
          <w:b/>
          <w:bCs/>
        </w:rPr>
        <w:t>1. 用户界面与操作逻辑</w:t>
      </w:r>
    </w:p>
    <w:p w14:paraId="09EABE64">
      <w:pPr>
        <w:pStyle w:val="16"/>
        <w:numPr>
          <w:ilvl w:val="0"/>
          <w:numId w:val="1"/>
        </w:numPr>
      </w:pPr>
      <w:r>
        <w:rPr>
          <w:b/>
          <w:bCs/>
        </w:rPr>
        <w:t>多标签页控制面板</w:t>
      </w:r>
      <w:r>
        <w:t>：
</w:t>
      </w:r>
    </w:p>
    <w:p w14:paraId="5A3E7164">
      <w:pPr>
        <w:pStyle w:val="16"/>
        <w:numPr>
          <w:ilvl w:val="1"/>
          <w:numId w:val="1"/>
        </w:numPr>
      </w:pPr>
      <w:r>
        <w:rPr>
          <w:b/>
          <w:bCs/>
        </w:rPr>
        <w:t>市场供需</w:t>
      </w:r>
      <w:r>
        <w:t>：手动设定商品价格，观察价格变动对需求（GDP）和就业（失业率）的即时影响。
</w:t>
      </w:r>
    </w:p>
    <w:p w14:paraId="71B5CD8D">
      <w:pPr>
        <w:pStyle w:val="16"/>
        <w:numPr>
          <w:ilvl w:val="1"/>
          <w:numId w:val="1"/>
        </w:numPr>
      </w:pPr>
      <w:r>
        <w:rPr>
          <w:b/>
          <w:bCs/>
        </w:rPr>
        <w:t>货币政策</w:t>
      </w:r>
      <w:r>
        <w:t>：调整利率（0%- 无上限，实际逻辑限制为非负）与货币供应量，模拟央行调控手段。
</w:t>
      </w:r>
    </w:p>
    <w:p w14:paraId="7DA02440">
      <w:pPr>
        <w:pStyle w:val="16"/>
        <w:numPr>
          <w:ilvl w:val="1"/>
          <w:numId w:val="1"/>
        </w:numPr>
      </w:pPr>
      <w:r>
        <w:rPr>
          <w:b/>
          <w:bCs/>
        </w:rPr>
        <w:t>财政政策</w:t>
      </w:r>
      <w:r>
        <w:t>：设定税率（0%-100%）与公共支出，体验 “增税抑制经济但增加财政收入” 的平衡。
</w:t>
      </w:r>
    </w:p>
    <w:p w14:paraId="4FC6BB71">
      <w:pPr>
        <w:pStyle w:val="16"/>
        <w:numPr>
          <w:ilvl w:val="1"/>
          <w:numId w:val="1"/>
        </w:numPr>
      </w:pPr>
      <w:r>
        <w:rPr>
          <w:b/>
          <w:bCs/>
        </w:rPr>
        <w:t>贸易政策</w:t>
      </w:r>
      <w:r>
        <w:t>：选择 “平衡贸易”“促进出口”“限制进口” 模式，搭配关税率（0%-100%），观察政策组合对 GDP 和就业的复合影响。
</w:t>
      </w:r>
    </w:p>
    <w:p w14:paraId="710C4646">
      <w:pPr>
        <w:pStyle w:val="16"/>
        <w:numPr>
          <w:ilvl w:val="0"/>
          <w:numId w:val="1"/>
        </w:numPr>
      </w:pPr>
      <w:r>
        <w:rPr>
          <w:b/>
          <w:bCs/>
        </w:rPr>
        <w:t>状态显示区</w:t>
      </w:r>
      <w:r>
        <w:t>：实时展示天数、资金余额、GDP、失业率、通胀率等核心指标。
</w:t>
      </w:r>
    </w:p>
    <w:p w14:paraId="3D0212DE">
      <w:pPr>
        <w:pStyle w:val="16"/>
        <w:numPr>
          <w:ilvl w:val="0"/>
          <w:numId w:val="1"/>
        </w:numPr>
      </w:pPr>
      <w:r>
        <w:rPr>
          <w:b/>
          <w:bCs/>
        </w:rPr>
        <w:t>动态图表</w:t>
      </w:r>
      <w:r>
        <w:t>：自动绘制近 30 天的 GDP、失业率、通胀率趋势图，直观反映政策长期效果。
</w:t>
      </w:r>
    </w:p>
    <w:p w14:paraId="38BFEAA7">
      <w:pPr>
        <w:pStyle w:val="16"/>
      </w:pPr>
      <w:r>
        <w:rPr>
          <w:b/>
          <w:bCs/>
        </w:rPr>
        <w:t>2. 决策反馈机制</w:t>
      </w:r>
    </w:p>
    <w:p w14:paraId="642B6122">
      <w:pPr>
        <w:pStyle w:val="16"/>
        <w:numPr>
          <w:ilvl w:val="0"/>
          <w:numId w:val="1"/>
        </w:numPr>
      </w:pPr>
      <w:r>
        <w:rPr>
          <w:b/>
          <w:bCs/>
        </w:rPr>
        <w:t>即时效果</w:t>
      </w:r>
      <w:r>
        <w:t>：调整政策后点击按钮，系统立即计算政策对经济指标的冲击（如加息导致投资减少、GDP 下降）。
</w:t>
      </w:r>
    </w:p>
    <w:p w14:paraId="20D12EF1">
      <w:pPr>
        <w:pStyle w:val="16"/>
        <w:numPr>
          <w:ilvl w:val="0"/>
          <w:numId w:val="1"/>
        </w:numPr>
      </w:pPr>
      <w:r>
        <w:rPr>
          <w:b/>
          <w:bCs/>
        </w:rPr>
        <w:t>每日演化</w:t>
      </w:r>
      <w:r>
        <w:t>：点击 “进入下一天” 触发自然经济增长、随机事件（如经济繁荣 / 衰退、自然灾害）及政策滞后效应。
</w:t>
      </w:r>
    </w:p>
    <w:p w14:paraId="07EDC56E">
      <w:pPr>
        <w:pStyle w:val="16"/>
        <w:numPr>
          <w:ilvl w:val="0"/>
          <w:numId w:val="1"/>
        </w:numPr>
      </w:pPr>
      <w:r>
        <w:rPr>
          <w:b/>
          <w:bCs/>
        </w:rPr>
        <w:t>惩罚机制</w:t>
      </w:r>
      <w:r>
        <w:t>：
</w:t>
      </w:r>
    </w:p>
    <w:p w14:paraId="08A04FE1">
      <w:pPr>
        <w:pStyle w:val="16"/>
        <w:numPr>
          <w:ilvl w:val="1"/>
          <w:numId w:val="1"/>
        </w:numPr>
      </w:pPr>
      <w:r>
        <w:t>政府债务超过 - 1000 或失业率高于 30% 时触发警告；
</w:t>
      </w:r>
    </w:p>
    <w:p w14:paraId="32E5B08B">
      <w:pPr>
        <w:pStyle w:val="16"/>
        <w:numPr>
          <w:ilvl w:val="1"/>
          <w:numId w:val="1"/>
        </w:numPr>
      </w:pPr>
      <w:r>
        <w:t>GDP 跌破 100 时游戏结束，强化财政可持续性与经济稳定性目标。
</w:t>
      </w:r>
    </w:p>
    <w:p w14:paraId="39A44871">
      <w:pPr>
        <w:pStyle w:val="16"/>
      </w:pPr>
      <w:r>
        <w:rPr>
          <w:b/>
          <w:bCs/>
        </w:rPr>
        <w:t>3. 随机事件系统</w:t>
      </w:r>
    </w:p>
    <w:p w14:paraId="4429CA7A">
      <w:pPr>
        <w:pStyle w:val="16"/>
        <w:numPr>
          <w:ilvl w:val="0"/>
          <w:numId w:val="1"/>
        </w:numPr>
      </w:pPr>
      <w:r>
        <w:t>每日有 20% 概率触发随机事件（如技术突破、自然灾害），引入不确定性以模拟现实经济波动。
</w:t>
      </w:r>
    </w:p>
    <w:p w14:paraId="53B512F8">
      <w:pPr>
        <w:pStyle w:val="16"/>
        <w:numPr>
          <w:ilvl w:val="0"/>
          <w:numId w:val="1"/>
        </w:numPr>
      </w:pPr>
      <w:r>
        <w:t>事件效果包括 GDP 增减、失业率波动、财政资金变化等，增加决策挑战性。
</w:t>
      </w:r>
    </w:p>
    <w:p w14:paraId="46FE2C57">
      <w:pPr>
        <w:pStyle w:val="5"/>
      </w:pPr>
      <w:r>
        <w:rPr>
          <w:b/>
          <w:bCs/>
        </w:rPr>
        <w:t>三、代码结构与技术实现</w:t>
      </w:r>
    </w:p>
    <w:p w14:paraId="03645B49">
      <w:pPr>
        <w:pStyle w:val="16"/>
      </w:pPr>
      <w:r>
        <w:rPr>
          <w:b/>
          <w:bCs/>
        </w:rPr>
        <w:t>1. 模块划分</w:t>
      </w:r>
    </w:p>
    <w:p w14:paraId="287E2F96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989"/>
      </w:tblGrid>
      <w:tr w14:paraId="05671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A5C8D8">
            <w:pPr>
              <w:pStyle w:val="16"/>
            </w:pPr>
            <w:r>
              <w:t># 核心模块
</w:t>
            </w:r>
          </w:p>
          <w:p w14:paraId="77E2B4F6">
            <w:pPr>
              <w:pStyle w:val="16"/>
            </w:pPr>
            <w:r>
              <w:t>- EconomicSimulationGame类：  
</w:t>
            </w:r>
          </w:p>
          <w:p w14:paraId="07FAF4D2">
            <w:pPr>
              <w:pStyle w:val="16"/>
            </w:pPr>
            <w:r>
              <w:t xml:space="preserve">  ├─ __init__: 初始化游戏参数、UI组件及历史数据追踪  
</w:t>
            </w:r>
          </w:p>
          <w:p w14:paraId="386D62D8">
            <w:pPr>
              <w:pStyle w:val="16"/>
            </w:pPr>
            <w:r>
              <w:t xml:space="preserve">  ├─ create_ui: 构建Tkinter界面（多标签页、图表、状态显示）  
</w:t>
            </w:r>
          </w:p>
          <w:p w14:paraId="22EC3CA5">
            <w:pPr>
              <w:pStyle w:val="16"/>
            </w:pPr>
            <w:r>
              <w:t xml:space="preserve">  ├─ update_display: 更新实时数据与图表  
</w:t>
            </w:r>
          </w:p>
          <w:p w14:paraId="169D13B5">
            <w:pPr>
              <w:pStyle w:val="16"/>
            </w:pPr>
            <w:r>
              <w:t xml:space="preserve">  ├─ 政策应用方法（set_price/apply_monetary_policy等）: 实现各政策的经济逻辑  
</w:t>
            </w:r>
          </w:p>
          <w:p w14:paraId="35D206C8">
            <w:pPr>
              <w:pStyle w:val="16"/>
            </w:pPr>
            <w:r>
              <w:t xml:space="preserve">  ├─ 后台计算方法（calculate_economic_changes/handle_events）: 驱动每日经济演化  
</w:t>
            </w:r>
          </w:p>
          <w:p w14:paraId="2413A0AE">
            <w:pPr>
              <w:pStyle w:val="16"/>
            </w:pPr>
            <w:r>
              <w:t>- 辅助函数：  
</w:t>
            </w:r>
          </w:p>
          <w:p w14:paraId="21EC0D3D">
            <w:pPr>
              <w:pStyle w:val="16"/>
            </w:pPr>
            <w:r>
              <w:t xml:space="preserve">  └─ setup_chinese_font: 配置Matplotlib中文字体，确保图表中文正常显示  
</w:t>
            </w:r>
          </w:p>
        </w:tc>
      </w:tr>
    </w:tbl>
    <w:p w14:paraId="62828420">
      <w:pPr>
        <w:pStyle w:val="16"/>
      </w:pPr>
      <w:r>
        <w:rPr>
          <w:b/>
          <w:bCs/>
        </w:rPr>
        <w:t>2. 关键代码段解析</w:t>
      </w:r>
    </w:p>
    <w:p w14:paraId="5EE4CDB5">
      <w:pPr>
        <w:pStyle w:val="16"/>
        <w:numPr>
          <w:ilvl w:val="0"/>
          <w:numId w:val="1"/>
        </w:numPr>
      </w:pPr>
      <w:r>
        <w:rPr>
          <w:b/>
          <w:bCs/>
        </w:rPr>
        <w:t>价格调整逻辑（市场供需）</w:t>
      </w:r>
      <w:r>
        <w:t>：
</w:t>
      </w:r>
    </w:p>
    <w:p w14:paraId="2331FED1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7985A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4DC10D">
            <w:pPr>
              <w:pStyle w:val="16"/>
            </w:pPr>
            <w:r>
              <w:t>def set_price(self):
</w:t>
            </w:r>
          </w:p>
          <w:p w14:paraId="56ACA5AA">
            <w:pPr>
              <w:pStyle w:val="16"/>
            </w:pPr>
            <w:r>
              <w:t xml:space="preserve">    # 价格变动影响GDP与失业率的核心公式
</w:t>
            </w:r>
          </w:p>
          <w:p w14:paraId="10AB2426">
            <w:pPr>
              <w:pStyle w:val="16"/>
            </w:pPr>
            <w:r>
              <w:t xml:space="preserve">    price_change_ratio = new_price / old_price
</w:t>
            </w:r>
          </w:p>
          <w:p w14:paraId="04D99C82">
            <w:pPr>
              <w:pStyle w:val="16"/>
            </w:pPr>
            <w:r>
              <w:t xml:space="preserve">    if price_change_ratio &gt; 1:  # 价格上涨抑制需求
</w:t>
            </w:r>
          </w:p>
          <w:p w14:paraId="37E45F7E">
            <w:pPr>
              <w:pStyle w:val="16"/>
            </w:pPr>
            <w:r>
              <w:t xml:space="preserve">        self.gdp *= (1 - (price_change_ratio - 1) * 0.2)  # GDP按比例下降
</w:t>
            </w:r>
          </w:p>
          <w:p w14:paraId="4E7B7201">
            <w:pPr>
              <w:pStyle w:val="16"/>
            </w:pPr>
            <w:r>
              <w:t xml:space="preserve">        self.unemployment += (price_change_ratio - 1) * 0.01  # 失业率上升
</w:t>
            </w:r>
          </w:p>
          <w:p w14:paraId="74ECE176">
            <w:pPr>
              <w:pStyle w:val="16"/>
            </w:pPr>
            <w:r>
              <w:t xml:space="preserve">    else:  # 价格下降刺激需求
</w:t>
            </w:r>
          </w:p>
          <w:p w14:paraId="01E06AEA">
            <w:pPr>
              <w:pStyle w:val="16"/>
            </w:pPr>
            <w:r>
              <w:t xml:space="preserve">        self.gdp *= (1 + (1 - price_change_ratio) * 0.1)  # GDP按比例上升
</w:t>
            </w:r>
          </w:p>
          <w:p w14:paraId="674D2063">
            <w:pPr>
              <w:pStyle w:val="16"/>
            </w:pPr>
            <w:r>
              <w:t xml:space="preserve">        self.unemployment = max(0.01, self.unemployment - (1 - price_change_ratio) * 0.005)  # 失业率下降（最低1%）
</w:t>
            </w:r>
          </w:p>
        </w:tc>
      </w:tr>
    </w:tbl>
    <w:p w14:paraId="33EFACC5">
      <w:pPr>
        <w:pStyle w:val="16"/>
      </w:pPr>
      <w:r>
        <w:rPr>
          <w:i/>
          <w:iCs/>
        </w:rPr>
        <w:t>原理</w:t>
      </w:r>
      <w:r>
        <w:t>：通过价格弹性系数模拟供需变化，体现 “价格 - 需求 - 生产 - 就业” 的传导链。
</w:t>
      </w:r>
    </w:p>
    <w:p w14:paraId="778231A4">
      <w:pPr>
        <w:pStyle w:val="16"/>
        <w:numPr>
          <w:ilvl w:val="0"/>
          <w:numId w:val="1"/>
        </w:numPr>
      </w:pPr>
      <w:r>
        <w:rPr>
          <w:b/>
          <w:bCs/>
        </w:rPr>
        <w:t>货币政策联动效应</w:t>
      </w:r>
      <w:r>
        <w:t>：
</w:t>
      </w:r>
    </w:p>
    <w:p w14:paraId="0156D86C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78"/>
      </w:tblGrid>
      <w:tr w14:paraId="098CB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36C678">
            <w:pPr>
              <w:pStyle w:val="16"/>
            </w:pPr>
            <w:r>
              <w:t>def apply_monetary_policy(self):
</w:t>
            </w:r>
          </w:p>
          <w:p w14:paraId="4801ACDB">
            <w:pPr>
              <w:pStyle w:val="16"/>
            </w:pPr>
            <w:r>
              <w:t xml:space="preserve">    # 利率与货币供应对GDP的复合影响
</w:t>
            </w:r>
          </w:p>
          <w:p w14:paraId="3D85C939">
            <w:pPr>
              <w:pStyle w:val="16"/>
            </w:pPr>
            <w:r>
              <w:t xml:space="preserve">    interest_change = new_interest_rate - old_interest
</w:t>
            </w:r>
          </w:p>
          <w:p w14:paraId="246BBF07">
            <w:pPr>
              <w:pStyle w:val="16"/>
            </w:pPr>
            <w:r>
              <w:t xml:space="preserve">    if interest_change &gt; 0:  # 加息抑制投资
</w:t>
            </w:r>
          </w:p>
          <w:p w14:paraId="3B22CDC6">
            <w:pPr>
              <w:pStyle w:val="16"/>
            </w:pPr>
            <w:r>
              <w:t xml:space="preserve">        self.gdp *= (1 - interest_change * 2)  # GDP降幅与利率增幅成正比
</w:t>
            </w:r>
          </w:p>
          <w:p w14:paraId="790A5B87">
            <w:pPr>
              <w:pStyle w:val="16"/>
            </w:pPr>
            <w:r>
              <w:t xml:space="preserve">    else:  # 降息刺激投资
</w:t>
            </w:r>
          </w:p>
          <w:p w14:paraId="608CE828">
            <w:pPr>
              <w:pStyle w:val="16"/>
            </w:pPr>
            <w:r>
              <w:t xml:space="preserve">        self.gdp *= (1 - interest_change)  # GDP增幅与利率降幅成正比
</w:t>
            </w:r>
          </w:p>
          <w:p w14:paraId="28D73025">
            <w:pPr>
              <w:pStyle w:val="16"/>
            </w:pPr>
            <w:r>
              <w:t xml:space="preserve">    # 货币超发引发通胀
</w:t>
            </w:r>
          </w:p>
          <w:p w14:paraId="059F072D">
            <w:pPr>
              <w:pStyle w:val="16"/>
            </w:pPr>
            <w:r>
              <w:t xml:space="preserve">    money_supply_change = new_money_supply / old_money_supply
</w:t>
            </w:r>
          </w:p>
          <w:p w14:paraId="7AA4AAD4">
            <w:pPr>
              <w:pStyle w:val="16"/>
            </w:pPr>
            <w:r>
              <w:t xml:space="preserve">    if money_supply_change &gt; 1:
</w:t>
            </w:r>
          </w:p>
          <w:p w14:paraId="0EB38510">
            <w:pPr>
              <w:pStyle w:val="16"/>
            </w:pPr>
            <w:r>
              <w:t xml:space="preserve">        self.gdp *= (1 + (money_supply_change - 1) * 0.1)  # 短期刺激GDP，但长期可能通胀
</w:t>
            </w:r>
          </w:p>
        </w:tc>
      </w:tr>
    </w:tbl>
    <w:p w14:paraId="5DEB6648">
      <w:pPr>
        <w:pStyle w:val="16"/>
      </w:pPr>
      <w:r>
        <w:rPr>
          <w:i/>
          <w:iCs/>
        </w:rPr>
        <w:t>原理</w:t>
      </w:r>
      <w:r>
        <w:t>：结合凯恩斯主义货币理论，展示货币政策的 “双刃剑” 效果。
</w:t>
      </w:r>
    </w:p>
    <w:p w14:paraId="53195A4B">
      <w:pPr>
        <w:pStyle w:val="16"/>
      </w:pPr>
      <w:r>
        <w:rPr>
          <w:b/>
          <w:bCs/>
        </w:rPr>
        <w:t>3. 外部库依赖</w:t>
      </w:r>
    </w:p>
    <w:p w14:paraId="16ABB4F2">
      <w:pPr>
        <w:pStyle w:val="16"/>
        <w:numPr>
          <w:ilvl w:val="0"/>
          <w:numId w:val="1"/>
        </w:numPr>
      </w:pPr>
      <w:r>
        <w:rPr>
          <w:b/>
          <w:bCs/>
        </w:rPr>
        <w:t>Tkinter</w:t>
      </w:r>
      <w:r>
        <w:t>：构建图形化界面（GUI）。
</w:t>
      </w:r>
    </w:p>
    <w:p w14:paraId="7C70AE65">
      <w:pPr>
        <w:pStyle w:val="16"/>
        <w:numPr>
          <w:ilvl w:val="0"/>
          <w:numId w:val="1"/>
        </w:numPr>
      </w:pPr>
      <w:r>
        <w:rPr>
          <w:b/>
          <w:bCs/>
        </w:rPr>
        <w:t>Matplotlib</w:t>
      </w:r>
      <w:r>
        <w:t>：绘制动态经济指标图表，需配置中文字体（见</w:t>
      </w:r>
      <w:r>
        <w:rPr>
          <w:highlight w:val="cyan"/>
          <w:bdr w:val="single" w:color="DEE0E3" w:sz="4" w:space="0"/>
        </w:rPr>
        <w:t>setup_chinese_font</w:t>
      </w:r>
      <w:r>
        <w:t>函数）。
</w:t>
      </w:r>
    </w:p>
    <w:p w14:paraId="185BFF35">
      <w:pPr>
        <w:pStyle w:val="16"/>
        <w:numPr>
          <w:ilvl w:val="0"/>
          <w:numId w:val="1"/>
        </w:numPr>
      </w:pPr>
      <w:r>
        <w:rPr>
          <w:b/>
          <w:bCs/>
        </w:rPr>
        <w:t>NumPy/Random</w:t>
      </w:r>
      <w:r>
        <w:t>：生成随机事件与经济波动数据。
</w:t>
      </w:r>
    </w:p>
    <w:p w14:paraId="7AFAC0BD">
      <w:pPr>
        <w:pStyle w:val="5"/>
      </w:pPr>
      <w:r>
        <w:rPr>
          <w:b/>
          <w:bCs/>
        </w:rPr>
        <w:t>四、游戏运行与操作指南</w:t>
      </w:r>
    </w:p>
    <w:p w14:paraId="6181CBEF">
      <w:pPr>
        <w:pStyle w:val="16"/>
      </w:pPr>
      <w:r>
        <w:rPr>
          <w:b/>
          <w:bCs/>
        </w:rPr>
        <w:t>1. 环境要求</w:t>
      </w:r>
    </w:p>
    <w:p w14:paraId="50F4883E">
      <w:pPr>
        <w:pStyle w:val="16"/>
        <w:numPr>
          <w:ilvl w:val="0"/>
          <w:numId w:val="1"/>
        </w:numPr>
      </w:pPr>
      <w:r>
        <w:t>Python 3.6+
</w:t>
      </w:r>
    </w:p>
    <w:p w14:paraId="3046F81B">
      <w:pPr>
        <w:pStyle w:val="16"/>
        <w:numPr>
          <w:ilvl w:val="0"/>
          <w:numId w:val="1"/>
        </w:numPr>
      </w:pPr>
      <w:r>
        <w:t>依赖库安装：
</w:t>
      </w:r>
    </w:p>
    <w:p w14:paraId="1342B08C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52"/>
      </w:tblGrid>
      <w:tr w14:paraId="1779C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B08439">
            <w:pPr>
              <w:pStyle w:val="16"/>
            </w:pPr>
            <w:r>
              <w:t>pip install tkinter matplotlib numpy
</w:t>
            </w:r>
          </w:p>
        </w:tc>
      </w:tr>
    </w:tbl>
    <w:p w14:paraId="1DBB1754">
      <w:pPr>
        <w:pStyle w:val="16"/>
      </w:pPr>
      <w:r>
        <w:rPr>
          <w:b/>
          <w:bCs/>
        </w:rPr>
        <w:t>2. 启动与操作步骤</w:t>
      </w:r>
    </w:p>
    <w:p w14:paraId="52A58909">
      <w:pPr>
        <w:pStyle w:val="16"/>
        <w:numPr>
          <w:ilvl w:val="0"/>
          <w:numId w:val="2"/>
        </w:numPr>
      </w:pPr>
      <w:r>
        <w:t>运行</w:t>
      </w:r>
      <w:r>
        <w:rPr>
          <w:highlight w:val="cyan"/>
          <w:bdr w:val="single" w:color="DEE0E3" w:sz="4" w:space="0"/>
        </w:rPr>
        <w:t>economic_game.py</w:t>
      </w:r>
      <w:r>
        <w:t>，弹出主窗口（分辨率建议≥900×600）。
</w:t>
      </w:r>
    </w:p>
    <w:p w14:paraId="75FA02E1">
      <w:pPr>
        <w:pStyle w:val="16"/>
        <w:numPr>
          <w:ilvl w:val="0"/>
          <w:numId w:val="2"/>
        </w:numPr>
      </w:pPr>
      <w:r>
        <w:t>通过左侧标签页切换政策类型，在输入框中设置参数后点击对应按钮（如 “调整价格”“应用货币政策”）。
</w:t>
      </w:r>
    </w:p>
    <w:p w14:paraId="57977105">
      <w:pPr>
        <w:pStyle w:val="16"/>
        <w:numPr>
          <w:ilvl w:val="0"/>
          <w:numId w:val="2"/>
        </w:numPr>
      </w:pPr>
      <w:r>
        <w:t>点击 “进入下一天” 推进时间，观察每日报告与图表变化。
</w:t>
      </w:r>
    </w:p>
    <w:p w14:paraId="4992847C">
      <w:pPr>
        <w:pStyle w:val="16"/>
        <w:numPr>
          <w:ilvl w:val="0"/>
          <w:numId w:val="2"/>
        </w:numPr>
      </w:pPr>
      <w:r>
        <w:t>目标：维持 GDP 增长、失业率＜5%、通胀率＜3%，避免财政崩溃或经济衰退。
</w:t>
      </w:r>
    </w:p>
    <w:p w14:paraId="651E6F82">
      <w:pPr>
        <w:pStyle w:val="16"/>
      </w:pPr>
      <w:r>
        <w:rPr>
          <w:b/>
          <w:bCs/>
        </w:rPr>
        <w:t>3. 示例玩法：应对经济衰退</w:t>
      </w:r>
    </w:p>
    <w:p w14:paraId="2952C493">
      <w:pPr>
        <w:pStyle w:val="16"/>
        <w:numPr>
          <w:ilvl w:val="0"/>
          <w:numId w:val="1"/>
        </w:numPr>
      </w:pPr>
      <w:r>
        <w:rPr>
          <w:b/>
          <w:bCs/>
        </w:rPr>
        <w:t>问题</w:t>
      </w:r>
      <w:r>
        <w:t>：初始失业率 5%，GDP 增长缓慢。
</w:t>
      </w:r>
    </w:p>
    <w:p w14:paraId="57F3A6F9">
      <w:pPr>
        <w:pStyle w:val="16"/>
        <w:numPr>
          <w:ilvl w:val="0"/>
          <w:numId w:val="1"/>
        </w:numPr>
      </w:pPr>
      <w:r>
        <w:rPr>
          <w:b/>
          <w:bCs/>
        </w:rPr>
        <w:t>策略</w:t>
      </w:r>
      <w:r>
        <w:t>：
</w:t>
      </w:r>
    </w:p>
    <w:p w14:paraId="62CBA9A4">
      <w:pPr>
        <w:pStyle w:val="16"/>
        <w:numPr>
          <w:ilvl w:val="1"/>
          <w:numId w:val="3"/>
        </w:numPr>
      </w:pPr>
      <w:r>
        <w:t>货币政策页中将利率从 5% 降至 3%（刺激投资），货币供应量增加至 1200（宽松货币）；
</w:t>
      </w:r>
    </w:p>
    <w:p w14:paraId="3FD286B3">
      <w:pPr>
        <w:pStyle w:val="16"/>
        <w:numPr>
          <w:ilvl w:val="1"/>
          <w:numId w:val="3"/>
        </w:numPr>
      </w:pPr>
      <w:r>
        <w:t>财政政策页中将税率从 20% 降至 15%（减税刺激消费），公共支出增加至 300（基建投资）；
</w:t>
      </w:r>
    </w:p>
    <w:p w14:paraId="1C8DF715">
      <w:pPr>
        <w:pStyle w:val="16"/>
        <w:numPr>
          <w:ilvl w:val="1"/>
          <w:numId w:val="3"/>
        </w:numPr>
      </w:pPr>
      <w:r>
        <w:t>贸易政策页选择 “促进出口” 并降低关税至 5%（提升净出口）。
</w:t>
      </w:r>
    </w:p>
    <w:p w14:paraId="216EABB9">
      <w:pPr>
        <w:pStyle w:val="16"/>
        <w:numPr>
          <w:ilvl w:val="0"/>
          <w:numId w:val="1"/>
        </w:numPr>
      </w:pPr>
      <w:r>
        <w:rPr>
          <w:b/>
          <w:bCs/>
        </w:rPr>
        <w:t>预期效果</w:t>
      </w:r>
      <w:r>
        <w:t>：3-5 天后 GDP 显著回升，失业率下降，但需警惕通胀率上升至 4% 左右的副作用。
</w:t>
      </w:r>
    </w:p>
    <w:p w14:paraId="0A4F0E2A">
      <w:pPr>
        <w:pStyle w:val="5"/>
      </w:pPr>
      <w:r>
        <w:rPr>
          <w:b/>
          <w:bCs/>
        </w:rPr>
        <w:t>五、总结与创新点</w:t>
      </w:r>
    </w:p>
    <w:p w14:paraId="2DB182A3">
      <w:pPr>
        <w:pStyle w:val="16"/>
      </w:pPr>
      <w:r>
        <w:rPr>
          <w:b/>
          <w:bCs/>
        </w:rPr>
        <w:t>1. 核心价值</w:t>
      </w:r>
    </w:p>
    <w:p w14:paraId="5C0764FB">
      <w:pPr>
        <w:pStyle w:val="16"/>
        <w:numPr>
          <w:ilvl w:val="0"/>
          <w:numId w:val="1"/>
        </w:numPr>
      </w:pPr>
      <w:r>
        <w:rPr>
          <w:b/>
          <w:bCs/>
        </w:rPr>
        <w:t>多政策联动模拟</w:t>
      </w:r>
      <w:r>
        <w:t>：区别于单一政策实验，本游戏允许同时调整财政、货币、贸易政策，观察交叉效应（如减税 + 加息对 GDP 的综合影响）。
</w:t>
      </w:r>
    </w:p>
    <w:p w14:paraId="5571AF13">
      <w:pPr>
        <w:pStyle w:val="16"/>
        <w:numPr>
          <w:ilvl w:val="0"/>
          <w:numId w:val="1"/>
        </w:numPr>
      </w:pPr>
      <w:r>
        <w:rPr>
          <w:b/>
          <w:bCs/>
        </w:rPr>
        <w:t>动态反馈与可视化</w:t>
      </w:r>
      <w:r>
        <w:t>：通过实时图表和每日报告，直观呈现经济变量的因果关系，帮助理解 “政策工具 - 中间变量 - 最终目标” 的逻辑链。
</w:t>
      </w:r>
    </w:p>
    <w:p w14:paraId="5A6AF03B">
      <w:pPr>
        <w:pStyle w:val="16"/>
      </w:pPr>
      <w:r>
        <w:rPr>
          <w:b/>
          <w:bCs/>
        </w:rPr>
        <w:t>2. 创新设计</w:t>
      </w:r>
    </w:p>
    <w:p w14:paraId="6873894E">
      <w:pPr>
        <w:pStyle w:val="16"/>
        <w:numPr>
          <w:ilvl w:val="0"/>
          <w:numId w:val="1"/>
        </w:numPr>
      </w:pPr>
      <w:r>
        <w:rPr>
          <w:b/>
          <w:bCs/>
        </w:rPr>
        <w:t>随机事件系统</w:t>
      </w:r>
      <w:r>
        <w:t>：引入不确定性（如技术突破、自然灾害），增强实验的真实感与决策挑战性。
</w:t>
      </w:r>
    </w:p>
    <w:p w14:paraId="43FFE673">
      <w:pPr>
        <w:pStyle w:val="16"/>
        <w:numPr>
          <w:ilvl w:val="0"/>
          <w:numId w:val="1"/>
        </w:numPr>
      </w:pPr>
      <w:r>
        <w:rPr>
          <w:b/>
          <w:bCs/>
        </w:rPr>
        <w:t>跨学科整合</w:t>
      </w:r>
      <w:r>
        <w:t>：融合微观（价格机制）与宏观（财政货币理论）经济学，适合多层次教学场景。
</w:t>
      </w:r>
    </w:p>
    <w:p w14:paraId="18FF785D">
      <w:pPr>
        <w:pStyle w:val="16"/>
      </w:pPr>
      <w:r>
        <w:rPr>
          <w:b/>
          <w:bCs/>
        </w:rPr>
        <w:t>3. 扩展方向</w:t>
      </w:r>
    </w:p>
    <w:p w14:paraId="63347BB6">
      <w:pPr>
        <w:pStyle w:val="16"/>
        <w:numPr>
          <w:ilvl w:val="0"/>
          <w:numId w:val="1"/>
        </w:numPr>
      </w:pPr>
      <w:r>
        <w:t>增加生产要素管理模块（如劳动力、资本、土地的分配）；
</w:t>
      </w:r>
    </w:p>
    <w:p w14:paraId="7E3C7CA3">
      <w:pPr>
        <w:pStyle w:val="16"/>
        <w:numPr>
          <w:ilvl w:val="0"/>
          <w:numId w:val="1"/>
        </w:numPr>
      </w:pPr>
      <w:r>
        <w:t>引入国际收支平衡表，细化贸易政策对汇率的影响；
</w:t>
      </w:r>
    </w:p>
    <w:p w14:paraId="1B81A584">
      <w:pPr>
        <w:pStyle w:val="16"/>
        <w:numPr>
          <w:ilvl w:val="0"/>
          <w:numId w:val="1"/>
        </w:numPr>
      </w:pPr>
      <w:r>
        <w:t>添加 AI 对手（如其他国家的政策博弈），提升互动性。
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7F8771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2427</Words>
  <Characters>3363</Characters>
  <TotalTime>0</TotalTime>
  <ScaleCrop>false</ScaleCrop>
  <LinksUpToDate>false</LinksUpToDate>
  <CharactersWithSpaces>3750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2025-06-03T10:42:00Z</dcterms:created>
  <dc:creator>Un-named</dc:creator>
  <cp:lastModifiedBy>一笑奈何</cp:lastModifiedBy>
  <dcterms:modified xsi:type="dcterms:W3CDTF">2025-06-03T10:43:24Z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eyJoZGlkIjoiZjA2MTE2MmMyMjRlYzE1MmVlNmQ0YTIwNmM4MDMzMGUiLCJ1c2VySWQiOiI4NTA2MTMxNzgifQ==</vt:lpwstr>
  </property>
  <property fmtid="{D5CDD505-2E9C-101B-9397-08002B2CF9AE}" pid="3" name="KSOProductBuildVer">
    <vt:lpwstr>2052-12.1.0.21171</vt:lpwstr>
  </property>
  <property fmtid="{D5CDD505-2E9C-101B-9397-08002B2CF9AE}" pid="4" name="ICV">
    <vt:lpwstr>7082D5B3A4694322BB4A89BE0D85277F_12</vt:lpwstr>
  </property>
</Properties>
</file>