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 xml:space="preserve">V2.3</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 xml:space="preserve">2026-10-29</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 xml:space="preserve">已发布（v2.10.6），待评审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 xml:space="preserve">V2.3 交底「分享链接查看记录」改为按访问时间平铺（序号、查看时间）并在表格上方显示查看总次数；三维交底与施工工艺交底的分享弹窗改为先选有效期、提交后生成链接，复制链接移至链接生成之后。</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 xml:space="preserve">本地原型 BUILD：20261029-v2.10.6-1，对应线上版本 v2.10.6（2026-10-29 发布），稳定地址：https://Windsky-alt.github.io/xiongan-log-demo/latest.html。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r w14:paraId="D1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1000001">
            <w:r>
              <w:t>V1.9</w:t>
            </w:r>
          </w:p>
        </w:tc>
        <w:tc>
          <w:tcPr>
            <w:tcW w:w="3360" w:type="dxa"/>
          </w:tcPr>
          <w:p w14:paraId="D1000002">
            <w:r>
              <w:t>2026-10-28</w:t>
            </w:r>
          </w:p>
        </w:tc>
        <w:tc>
          <w:tcPr>
            <w:tcW w:w="3360" w:type="dxa"/>
          </w:tcPr>
          <w:p w14:paraId="D1000003">
            <w:r>
              <w:t>三维交底/施工工艺交底：分组固定两级（全部+二级），新建分组仅二级；上传须选二级分组，全部时上传置灰并提示；上传弹窗直接带出分组；移动到仅二级目标。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V2.0</w:t>
            </w:r>
          </w:p>
        </w:tc>
        <w:tc>
          <w:tcPr>
            <w:tcW w:w="3360" w:type="dxa"/>
          </w:tcPr>
          <w:p w14:paraId="D2000002">
            <w:r>
              <w:t xml:space="preserve">2026-10-28</w:t>
            </w:r>
          </w:p>
        </w:tc>
        <w:tc>
          <w:tcPr>
            <w:tcW w:w="3360" w:type="dxa"/>
          </w:tcPr>
          <w:p w14:paraId="D2000003">
            <w:r>
              <w:t xml:space="preserve">BIM 挂接新增换绑与解绑：整改单整单解绑、多构件只解当前、换绑复用同一挂接面板并支持多选；批注台账新增「已撤回」状态与撤回、编辑重提、删除，删除联动清理 BIM 挂接与模型标记；三维交底与施工工艺交底改为两级分组并统一上传置灰。</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3000001">
            <w:r>
              <w:t xml:space="preserve">V2.1</w:t>
            </w:r>
          </w:p>
        </w:tc>
        <w:tc>
          <w:tcPr>
            <w:tcW w:w="3360" w:type="dxa"/>
          </w:tcPr>
          <w:p w14:paraId="D3000002">
            <w:r>
              <w:t xml:space="preserve">2026-10-29</w:t>
            </w:r>
          </w:p>
        </w:tc>
        <w:tc>
          <w:tcPr>
            <w:tcW w:w="3360" w:type="dxa"/>
          </w:tcPr>
          <w:p w14:paraId="D3000003">
            <w:r>
              <w:t xml:space="preserve">结构树与收藏页签增加构件「定位」按钮（只放大定位，不切换业务页签、不改筛选）；批注台账操作列右侧吸附固定。</w:t>
            </w:r>
          </w:p>
        </w:tc>
      </w:tr>
      <w:tr w14:paraId="D4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4000001">
            <w:r>
              <w:t xml:space="preserve">V2.2</w:t>
            </w:r>
          </w:p>
        </w:tc>
        <w:tc>
          <w:tcPr>
            <w:tcW w:w="3360" w:type="dxa"/>
          </w:tcPr>
          <w:p w14:paraId="D4000002">
            <w:r>
              <w:t xml:space="preserve">2026-10-29</w:t>
            </w:r>
          </w:p>
        </w:tc>
        <w:tc>
          <w:tcPr>
            <w:tcW w:w="3360" w:type="dxa"/>
          </w:tcPr>
          <w:p w14:paraId="D4000003">
            <w:r>
              <w:t xml:space="preserve">结构树定位后支持滚轮向下退出定位并恢复主视角；滚轮向上保持定位。</w:t>
            </w:r>
          </w:p>
        </w:tc>
      </w:tr>
      <w:tr w14:paraId="D5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5000001">
            <w:r>
              <w:t xml:space="preserve">V2.3</w:t>
            </w:r>
          </w:p>
        </w:tc>
        <w:tc>
          <w:tcPr>
            <w:tcW w:w="3360" w:type="dxa"/>
          </w:tcPr>
          <w:p w14:paraId="D5000002">
            <w:r>
              <w:t xml:space="preserve">2026-10-29</w:t>
            </w:r>
          </w:p>
        </w:tc>
        <w:tc>
          <w:tcPr>
            <w:tcW w:w="3360" w:type="dxa"/>
          </w:tcPr>
          <w:p w14:paraId="D5000003">
            <w:r>
              <w:t xml:space="preserve">交底分享链接查看记录改为序号+查看时间并增加查看总次数汇总；分享弹窗改为先选有效期、提交后生成链接。</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定位构件</w:t>
            </w:r>
          </w:p>
        </w:tc>
        <w:tc>
          <w:tcPr>
            <w:tcW w:w="2520" w:type="dxa"/>
          </w:tcPr>
          <w:p w14:paraId="D3000002">
            <w:r>
              <w:t xml:space="preserve">点击结构树构件行或收藏项右侧「定位」</w:t>
            </w:r>
          </w:p>
        </w:tc>
        <w:tc>
          <w:tcPr>
            <w:tcW w:w="2520" w:type="dxa"/>
          </w:tcPr>
          <w:p w14:paraId="D3000003">
            <w:r>
              <w:t xml:space="preserve">模型放大并居中到该构件，提示“已定位 + 构件名称”；定位后滚轮向下取消选中并恢复进入定位前的视角，滚轮向上保持定位；不切换业务页签、不改变当前筛选与清单</w:t>
            </w:r>
          </w:p>
        </w:tc>
        <w:tc>
          <w:tcPr>
            <w:tcW w:w="2520" w:type="dxa"/>
          </w:tcPr>
          <w:p w14:paraId="D3000004">
            <w:r>
              <w:t xml:space="preserve">构件不存在时忽略并提示</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星标收藏</w:t>
            </w:r>
          </w:p>
        </w:tc>
        <w:tc>
          <w:tcPr>
            <w:tcW w:w="2520" w:type="dxa"/>
          </w:tcPr>
          <w:p w14:paraId="D3000002">
            <w:r>
              <w:t xml:space="preserve">点击楼栋、楼层或构件行右侧的星标</w:t>
            </w:r>
          </w:p>
        </w:tc>
        <w:tc>
          <w:tcPr>
            <w:tcW w:w="2520" w:type="dxa"/>
          </w:tcPr>
          <w:p w14:paraId="D3000003">
            <w:r>
              <w:t xml:space="preserve">收藏或取消收藏该节点，收藏结果持久保存，刷新页面或刷新外壳不丢失</w:t>
            </w:r>
          </w:p>
        </w:tc>
        <w:tc>
          <w:tcPr>
            <w:tcW w:w="2520" w:type="dxa"/>
          </w:tcPr>
          <w:p w14:paraId="D3000004">
            <w:r>
              <w:t xml:space="preserve">—</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 xml:space="preserve">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结构树的构件行与收藏项右侧均提供「定位」按钮，点击后模型放大并居中到该构件；定位只改变模型视角，不切换业务页签、不改变当前筛选条件与业务清单。处于定位状态时，在模型区滚轮向下即取消选中并恢复进入定位前的视角与缩放，滚轮向上不退出定位；侧栏清单内的滚动不触发该行为。</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2D045A0D">
      <w:r>
        <w:t xml:space="preserve">已挂接的记录可在清单中解绑或换绑：解绑把记录恢复为未挂接，换绑用新构件替换原有挂接关系；两者都不删除业务记录本身。</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w:t>
            </w:r>
          </w:p>
        </w:tc>
        <w:tc>
          <w:tcPr>
            <w:tcW w:w="2520" w:type="dxa"/>
          </w:tcPr>
          <w:p w14:paraId="D2000002">
            <w:r>
              <w:t xml:space="preserve">在已挂接清单记录右侧点击「解绑」</w:t>
            </w:r>
          </w:p>
        </w:tc>
        <w:tc>
          <w:tcPr>
            <w:tcW w:w="2520" w:type="dxa"/>
          </w:tcPr>
          <w:p w14:paraId="D2000003">
            <w:r>
              <w:t xml:space="preserve">二次确认后删除该挂接关系，记录回到未挂接，模型角标与清单计数同步减少</w:t>
            </w:r>
          </w:p>
        </w:tc>
        <w:tc>
          <w:tcPr>
            <w:tcW w:w="2520" w:type="dxa"/>
          </w:tcPr>
          <w:p w14:paraId="D2000004">
            <w:r>
              <w:t xml:space="preserve">已撤回整改单不允许解绑；保存失败回滚并提示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换绑</w:t>
            </w:r>
          </w:p>
        </w:tc>
        <w:tc>
          <w:tcPr>
            <w:tcW w:w="2520" w:type="dxa"/>
          </w:tcPr>
          <w:p w14:paraId="D2000002">
            <w:r>
              <w:t xml:space="preserve">在已挂接清单记录右侧点击「换绑」</w:t>
            </w:r>
          </w:p>
        </w:tc>
        <w:tc>
          <w:tcPr>
            <w:tcW w:w="2520" w:type="dxa"/>
          </w:tcPr>
          <w:p w14:paraId="D2000003">
            <w:r>
              <w:t xml:space="preserve">打开与挂接相同的左侧面板，原构件标记为「原构件」，可多选新构件，确认后一次性替换挂接关系</w:t>
            </w:r>
          </w:p>
        </w:tc>
        <w:tc>
          <w:tcPr>
            <w:tcW w:w="2520" w:type="dxa"/>
          </w:tcPr>
          <w:p w14:paraId="D2000004">
            <w:r>
              <w:t xml:space="preserve">安全整改单只允许选择一个参考构件；失败时原挂接保留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解绑粒度</w:t>
            </w:r>
          </w:p>
        </w:tc>
        <w:tc>
          <w:tcPr>
            <w:tcW w:w="2520" w:type="dxa"/>
          </w:tcPr>
          <w:p w14:paraId="D2000002">
            <w:r>
              <w:t xml:space="preserve">—</w:t>
            </w:r>
          </w:p>
        </w:tc>
        <w:tc>
          <w:tcPr>
            <w:tcW w:w="2520" w:type="dxa"/>
          </w:tcPr>
          <w:p w14:paraId="D2000003">
            <w:r>
              <w:t xml:space="preserve">整改单为整单解绑，子问题不单独解绑；一份记录挂接多个构件时，解绑只移除当前构件</w:t>
            </w:r>
          </w:p>
        </w:tc>
        <w:tc>
          <w:tcPr>
            <w:tcW w:w="2520" w:type="dxa"/>
          </w:tcPr>
          <w:p w14:paraId="D2000004">
            <w:r>
              <w:t xml:space="preserve">—</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已解绑</w:t>
            </w:r>
          </w:p>
        </w:tc>
        <w:tc>
          <w:tcPr>
            <w:tcW w:w="3360" w:type="dxa"/>
          </w:tcPr>
          <w:p w14:paraId="D2000002">
            <w:r>
              <w:t xml:space="preserve">挂接关系已删除，记录回到未挂接</w:t>
            </w:r>
          </w:p>
        </w:tc>
        <w:tc>
          <w:tcPr>
            <w:tcW w:w="3360" w:type="dxa"/>
          </w:tcPr>
          <w:p w14:paraId="D2000003">
            <w:r>
              <w:t xml:space="preserve">重新挂接</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已换绑</w:t>
            </w:r>
          </w:p>
        </w:tc>
        <w:tc>
          <w:tcPr>
            <w:tcW w:w="3360" w:type="dxa"/>
          </w:tcPr>
          <w:p w14:paraId="D2000002">
            <w:r>
              <w:t xml:space="preserve">原构件关系已删除并写入新构件</w:t>
            </w:r>
          </w:p>
        </w:tc>
        <w:tc>
          <w:tcPr>
            <w:tcW w:w="3360" w:type="dxa"/>
          </w:tcPr>
          <w:p w14:paraId="D2000003">
            <w:r>
              <w:t xml:space="preserve">查看、再次换绑</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 xml:space="preserve">同一业务记录对同一构件只保留一条挂接关系，重复提交按 记录ID + 构件ID 幂等去重；已挂接构件在候选列表中显示为已挂接并禁止重复选择。批量挂接一次提交上限见 8.1。各业务TAB提供“已挂接 N / 未挂接 M”切换，未挂接记录可“去挂接”，复用载入模型→选择构件→确认挂接的通用流程，确认后自动归入已挂接并刷新计数；已挂接与未挂接使用同一详情页与同一字段集，未挂接时“挂接构件”显示“未挂接”。挂接结果可修改：解绑只删除挂接关系，不删除业务记录本身，单据状态、归档状态与业务内容均不变；换绑等于“删除原关系 + 写入新关系”，一次提交完成，失败时保留原挂接。整改单按整单操作，子问题不单独解绑；一份记录挂接多个构件时，换绑可一次改为多个新构件。已撤回的整改单不允许挂接、解绑或换绑。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AC-56</w:t>
            </w:r>
          </w:p>
        </w:tc>
        <w:tc>
          <w:tcPr>
            <w:tcW w:w="2016" w:type="dxa"/>
          </w:tcPr>
          <w:p w14:paraId="D2000002">
            <w:r>
              <w:t xml:space="preserve">解绑挂接</w:t>
            </w:r>
          </w:p>
        </w:tc>
        <w:tc>
          <w:tcPr>
            <w:tcW w:w="2016" w:type="dxa"/>
          </w:tcPr>
          <w:p w14:paraId="D2000003">
            <w:r>
              <w:t xml:space="preserve">记录已挂接构件</w:t>
            </w:r>
          </w:p>
        </w:tc>
        <w:tc>
          <w:tcPr>
            <w:tcW w:w="2016" w:type="dxa"/>
          </w:tcPr>
          <w:p w14:paraId="D2000004">
            <w:r>
              <w:t xml:space="preserve">在已挂接清单点击「解绑」并确认</w:t>
            </w:r>
          </w:p>
        </w:tc>
        <w:tc>
          <w:tcPr>
            <w:tcW w:w="2016" w:type="dxa"/>
          </w:tcPr>
          <w:p w14:paraId="D2000005">
            <w:r>
              <w:t xml:space="preserve">挂接关系被删除，记录回到未挂接，模型角标与计数同步减少，业务记录本身不变</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AC-57</w:t>
            </w:r>
          </w:p>
        </w:tc>
        <w:tc>
          <w:tcPr>
            <w:tcW w:w="2016" w:type="dxa"/>
          </w:tcPr>
          <w:p w14:paraId="D2000002">
            <w:r>
              <w:t xml:space="preserve">换绑挂接</w:t>
            </w:r>
          </w:p>
        </w:tc>
        <w:tc>
          <w:tcPr>
            <w:tcW w:w="2016" w:type="dxa"/>
          </w:tcPr>
          <w:p w14:paraId="D2000003">
            <w:r>
              <w:t xml:space="preserve">记录已挂接构件A</w:t>
            </w:r>
          </w:p>
        </w:tc>
        <w:tc>
          <w:tcPr>
            <w:tcW w:w="2016" w:type="dxa"/>
          </w:tcPr>
          <w:p w14:paraId="D2000004">
            <w:r>
              <w:t xml:space="preserve">点击「换绑」，在左侧面板改选构件B与C后确认</w:t>
            </w:r>
          </w:p>
        </w:tc>
        <w:tc>
          <w:tcPr>
            <w:tcW w:w="2016" w:type="dxa"/>
          </w:tcPr>
          <w:p w14:paraId="D2000005">
            <w:r>
              <w:t xml:space="preserve">原关系删除并写入B、C两个新关系，列表刷新为新构件，失败时保留原挂接</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 xml:space="preserve">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待整改、待整改逾期、继续整改与待复查的批注可撤回；撤回后进入“已撤回”状态，此时可编辑并重新提交，也可直接删除，删除同时清理该批注在 BIM 模型上的挂接关系与标记。</w:t>
      </w:r>
    </w:p>
    <w:p w14:paraId="07F60946">
      <w:pPr>
        <w:pStyle w:val="6"/>
      </w:pPr>
      <w:r>
        <w:t>6.11.2 业务流程</w:t>
      </w:r>
    </w:p>
    <w:p w14:paraId="05F1EE83">
      <w:r>
        <w:t xml:space="preserve">进入批注台账 → 按状态、是否逾期、批注人、构件或关键字筛选 → 查看摘要与列表 → 点击详情 → 查看基本信息、整改信息、整改与复查历史及流转记录 → 返回列表。需要作废时在操作列点击撤回 → 状态变为已撤回 → 编辑后重新提交（回到待整改）或直接删除（同步清理 BIM 挂接）。</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 xml:space="preserve">选择全部状态、无需整改、待整改、继续整改、待复查、已复查、已撤回</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撤回批注</w:t>
            </w:r>
          </w:p>
        </w:tc>
        <w:tc>
          <w:tcPr>
            <w:tcW w:w="2520" w:type="dxa"/>
          </w:tcPr>
          <w:p w14:paraId="D2000002">
            <w:r>
              <w:t xml:space="preserve">状态为待整改、待整改逾期、继续整改或待复查时，点击操作列「撤回」</w:t>
            </w:r>
          </w:p>
        </w:tc>
        <w:tc>
          <w:tcPr>
            <w:tcW w:w="2520" w:type="dxa"/>
          </w:tcPr>
          <w:p w14:paraId="D2000003">
            <w:r>
              <w:t xml:space="preserve">二次确认后状态变为已撤回并写入撤回时间；已撤回不计逾期、不计入未复查统计</w:t>
            </w:r>
          </w:p>
        </w:tc>
        <w:tc>
          <w:tcPr>
            <w:tcW w:w="2520" w:type="dxa"/>
          </w:tcPr>
          <w:p w14:paraId="D2000004">
            <w:r>
              <w:t xml:space="preserve">已复查与无需整改不提供撤回；已撤回不可重复撤回</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编辑并重新提交</w:t>
            </w:r>
          </w:p>
        </w:tc>
        <w:tc>
          <w:tcPr>
            <w:tcW w:w="2520" w:type="dxa"/>
          </w:tcPr>
          <w:p w14:paraId="D2000002">
            <w:r>
              <w:t xml:space="preserve">状态为已撤回时点击操作列「编辑」</w:t>
            </w:r>
          </w:p>
        </w:tc>
        <w:tc>
          <w:tcPr>
            <w:tcW w:w="2520" w:type="dxa"/>
          </w:tcPr>
          <w:p w14:paraId="D2000003">
            <w:r>
              <w:t xml:space="preserve">打开与「新增批注」字段一致的编辑表单（已选构件、问题描述、是否需要整改、整改人、整改截止日期、复查人），保存后状态回到待整改或无需整改，轮次加一</w:t>
            </w:r>
          </w:p>
        </w:tc>
        <w:tc>
          <w:tcPr>
            <w:tcW w:w="2520" w:type="dxa"/>
          </w:tcPr>
          <w:p w14:paraId="D2000004">
            <w:r>
              <w:t xml:space="preserve">必填缺失阻断保存；原撤回时间与撤回原因保留为历史</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删除批注</w:t>
            </w:r>
          </w:p>
        </w:tc>
        <w:tc>
          <w:tcPr>
            <w:tcW w:w="2520" w:type="dxa"/>
          </w:tcPr>
          <w:p w14:paraId="D2000002">
            <w:r>
              <w:t xml:space="preserve">状态为已撤回时点击操作列「删除」</w:t>
            </w:r>
          </w:p>
        </w:tc>
        <w:tc>
          <w:tcPr>
            <w:tcW w:w="2520" w:type="dxa"/>
          </w:tcPr>
          <w:p w14:paraId="D2000003">
            <w:r>
              <w:t xml:space="preserve">二次确认后删除该批注，并同步删除其在 BIM 模型上的挂接关系，模型标记同步消失</w:t>
            </w:r>
          </w:p>
        </w:tc>
        <w:tc>
          <w:tcPr>
            <w:tcW w:w="2520" w:type="dxa"/>
          </w:tcPr>
          <w:p w14:paraId="D2000004">
            <w:r>
              <w:t xml:space="preserve">其他状态不提供删除；删除后不可恢复</w:t>
            </w:r>
          </w:p>
        </w:tc>
      </w:tr>
    </w:tbl>
    <w:p w14:paraId="476A1F81">
      <w:pPr>
        <w:pStyle w:val="6"/>
      </w:pPr>
      <w:r>
        <w:t>6.11.6 状态定义与状态机</w:t>
      </w:r>
    </w:p>
    <w:p w14:paraId="1B85964D">
      <w:r>
        <w:t xml:space="preserve">基础状态为无需整改、待整改、待复查、继续整改、已复查、已撤回。待整改或继续整改超过期限时展示“待整改逾期”，与基础状态分开保存。提交本轮整改后状态变为待复查，不计逾期，天数为0；已复查、已整改、无需整改与已撤回等非待整改状态同样不计入逾期，也不计入“未复查”统计。状态流转：待整改、待整改逾期、继续整改、待复查均可撤回，撤回后进入已撤回；已撤回可编辑重新提交，保存后按是否需整改回到待整改或无需整改，轮次加一；已撤回可直接删除，删除同时清理该批注在 BIM 模型上的挂接关系与标记。已复查与无需整改不可撤回。详情显示的超期天数只表示当前未完成整改的超期，不累计已完成整改的历史超时。流转记录仍完整保留各轮整改、撤回与复查时间。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withdrawn_at</w:t>
            </w:r>
          </w:p>
        </w:tc>
        <w:tc>
          <w:tcPr>
            <w:tcW w:w="1680" w:type="dxa"/>
          </w:tcPr>
          <w:p w14:paraId="D2000003">
            <w:r>
              <w:t xml:space="preserve">撤回时间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撤回时写入，重新提交后作为历史保留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withdraw_reason</w:t>
            </w:r>
          </w:p>
        </w:tc>
        <w:tc>
          <w:tcPr>
            <w:tcW w:w="1680" w:type="dxa"/>
          </w:tcPr>
          <w:p w14:paraId="D2000003">
            <w:r>
              <w:t xml:space="preserve">撤回原因</w:t>
            </w:r>
          </w:p>
        </w:tc>
        <w:tc>
          <w:tcPr>
            <w:tcW w:w="1680" w:type="dxa"/>
          </w:tcPr>
          <w:p w14:paraId="D2000004">
            <w:r>
              <w:t xml:space="preserve">string</w:t>
            </w:r>
          </w:p>
        </w:tc>
        <w:tc>
          <w:tcPr>
            <w:tcW w:w="1680" w:type="dxa"/>
          </w:tcPr>
          <w:p w14:paraId="D2000005">
            <w:r>
              <w:t xml:space="preserve">否</w:t>
            </w:r>
          </w:p>
        </w:tc>
        <w:tc>
          <w:tcPr>
            <w:tcW w:w="1680" w:type="dxa"/>
          </w:tcPr>
          <w:p w14:paraId="D2000006">
            <w:r>
              <w:t xml:space="preserve">撤回时填写，可空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resubmitted_at</w:t>
            </w:r>
          </w:p>
        </w:tc>
        <w:tc>
          <w:tcPr>
            <w:tcW w:w="1680" w:type="dxa"/>
          </w:tcPr>
          <w:p w14:paraId="D2000003">
            <w:r>
              <w:t xml:space="preserve">重新提交时间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编辑重新提交时写入</w:t>
            </w:r>
          </w:p>
        </w:tc>
      </w:tr>
    </w:tbl>
    <w:p w14:paraId="51CA4296">
      <w:pPr>
        <w:pStyle w:val="6"/>
      </w:pPr>
      <w:r>
        <w:t>6.11.8 业务规则与边界</w:t>
      </w:r>
    </w:p>
    <w:p w14:paraId="5D167808">
      <w:r>
        <w:t xml:space="preserve">台账按展示状态优先排序：待整改逾期、待整改、继续整改、待复查，其后已复查、无需整改与已撤回；同级批注时间降序。分页大小固定，超出有效页自动收敛。待整改逾期为派生展示状态，不作为独立流转状态存储。已提交整改、已复查、无需整改、已撤回不计逾期，也不计入未复查统计。基础状态筛选包含该状态的逾期记录，显式选择待整改逾期时仅显示当前超期记录；多轮历史按轮次展示。撤回仅对未闭环记录开放，已复查与无需整改不提供撤回入口；已撤回提供编辑与删除，编辑保存即视为重新提交并回到待整改或无需整改；删除需二次确认，删除后同步删除该批注在 BIM 模型上的挂接关系与标记，且不再出现在批注台账、BIM 批注清单与模型标记中。表格总宽超过可视区域时，操作列固定在右侧，横向滚动过程中「详情」「撤回」「编辑」「删除」始终可见可点。</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AC-58</w:t>
            </w:r>
          </w:p>
        </w:tc>
        <w:tc>
          <w:tcPr>
            <w:tcW w:w="2016" w:type="dxa"/>
          </w:tcPr>
          <w:p w14:paraId="D2000002">
            <w:r>
              <w:t xml:space="preserve">撤回与重新提交</w:t>
            </w:r>
          </w:p>
        </w:tc>
        <w:tc>
          <w:tcPr>
            <w:tcW w:w="2016" w:type="dxa"/>
          </w:tcPr>
          <w:p w14:paraId="D2000003">
            <w:r>
              <w:t xml:space="preserve">批注为待整改（或待整改逾期、继续整改、待复查）</w:t>
            </w:r>
          </w:p>
        </w:tc>
        <w:tc>
          <w:tcPr>
            <w:tcW w:w="2016" w:type="dxa"/>
          </w:tcPr>
          <w:p w14:paraId="D2000004">
            <w:r>
              <w:t xml:space="preserve">点击操作列「撤回」并在确认框确认</w:t>
            </w:r>
          </w:p>
        </w:tc>
        <w:tc>
          <w:tcPr>
            <w:tcW w:w="2016" w:type="dxa"/>
          </w:tcPr>
          <w:p w14:paraId="D2000005">
            <w:r>
              <w:t xml:space="preserve">状态变为已撤回且不计逾期；操作列变为详情、编辑、删除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AC-59</w:t>
            </w:r>
          </w:p>
        </w:tc>
        <w:tc>
          <w:tcPr>
            <w:tcW w:w="2016" w:type="dxa"/>
          </w:tcPr>
          <w:p w14:paraId="D2000002">
            <w:r>
              <w:t xml:space="preserve">编辑重提与删除联动</w:t>
            </w:r>
          </w:p>
        </w:tc>
        <w:tc>
          <w:tcPr>
            <w:tcW w:w="2016" w:type="dxa"/>
          </w:tcPr>
          <w:p w14:paraId="D2000003">
            <w:r>
              <w:t xml:space="preserve">批注为已撤回</w:t>
            </w:r>
          </w:p>
        </w:tc>
        <w:tc>
          <w:tcPr>
            <w:tcW w:w="2016" w:type="dxa"/>
          </w:tcPr>
          <w:p w14:paraId="D2000004">
            <w:r>
              <w:t xml:space="preserve">先编辑并保存，再次撤回后执行删除</w:t>
            </w:r>
          </w:p>
        </w:tc>
        <w:tc>
          <w:tcPr>
            <w:tcW w:w="2016" w:type="dxa"/>
          </w:tcPr>
          <w:p w14:paraId="D2000005">
            <w:r>
              <w:t xml:space="preserve">编辑保存后状态回到待整改且轮次加一；删除后该批注从台账、BIM 批注清单与模型标记中同时消失</w:t>
            </w:r>
          </w:p>
        </w:tc>
      </w:tr>
    </w:tbl>
    <w:p w14:paraId="511C63E0">
      <w:pPr>
        <w:pStyle w:val="5"/>
      </w:pPr>
      <w:r>
        <w:t>6.12 施工工艺交底（功能ID：F-BIM-13）</w:t>
      </w:r>
    </w:p>
    <w:p w14:paraId="000C78B0">
      <w:pPr>
        <w:pStyle w:val="6"/>
      </w:pPr>
      <w:r>
        <w:t>6.12.1 功能概述</w:t>
      </w:r>
    </w:p>
    <w:p w14:paraId="288512FA">
      <w:r>
        <w:t xml:space="preserve">施工工艺交底以两级分组管理视频资料：左侧树一级固定为“全部”（虚拟根，汇总全部文件），二级为用户分组；右侧为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 xml:space="preserve">选择或新增二级分组（一级“全部”仅用于查看汇总，不可作为上传归属）→ 上传视频（弹窗带出当前分组，不再选择分组）→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 xml:space="preserve">两级分组树（一级“全部”、二级分组）、搜索、卡片与列表切换、批量工具条；默认列表，两种视图均支持全选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移动端查看记录；分享链接页签按访问时间平铺展示序号与查看时间，表格上方显示查看总次数；WEB &amp; 移动端页签按人员展示姓名、手机、查看次数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 xml:space="preserve">填写分组名称；分组固定为二级（挂在“全部”下），不提供上级分组选择，名称不可重复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 xml:space="preserve">选中“全部”显示全部文件；选中二级分组显示该分组文件；各节点显示文件数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 xml:space="preserve">选中二级分组后弹出上传框（显示“上传到：当前分组”），选择本地视频可多选；未选二级分组（选中“全部”）时上传按钮置灰</w:t>
            </w:r>
          </w:p>
        </w:tc>
        <w:tc>
          <w:tcPr>
            <w:tcW w:w="2520" w:type="dxa"/>
          </w:tcPr>
          <w:p w14:paraId="7E7F5ADB">
            <w:r>
              <w:t xml:space="preserve">仅支持 MP4、WebM，其他格式跳过并提示；未选中二级分组时上传按钮置灰</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 xml:space="preserve">先选择访问有效期，点击提交后生成分享链接，再复制链接</w:t>
            </w:r>
          </w:p>
        </w:tc>
        <w:tc>
          <w:tcPr>
            <w:tcW w:w="2520" w:type="dxa"/>
          </w:tcPr>
          <w:p w14:paraId="753A1FB0">
            <w:r>
              <w:t xml:space="preserve">未选有效期不生成链接；复制失败时提示手动复制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 xml:space="preserve">选择目标二级分组后移动（目标不含“全部”）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 xml:space="preserve">固定两级：一级“全部”为虚拟根，二级为分组；名称在同一项目内不可重复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 xml:space="preserve">分享链接页签按访问时间平铺展示序号、查看时间，并在表格上方显示查看总次数；WEB &amp; 移动端页签显示序号、姓名、手机、查看次数；两个页签均支持按姓名或手机号搜索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 xml:space="preserve">文件仅支持 MP4 与 WebM 视频格式，其他格式在上传时跳过并提示。分组固定为两级：一级为固定虚拟根“全部”，二级为用户分组；新建分组只能建二级，不支持三级。上传必须在左侧选中二级分组，选中“全部”时上传按钮置灰并提示“请选择左侧分组”，不允许把文件直接归入“全部”；上传弹窗不再选择分组，直接带出左侧选中分组。移动到分组的目标仅包含二级分组。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 xml:space="preserve">存在两级分组（“全部”+二级分组）与文件</w:t>
            </w:r>
          </w:p>
        </w:tc>
        <w:tc>
          <w:tcPr>
            <w:tcW w:w="2016" w:type="dxa"/>
          </w:tcPr>
          <w:p w14:paraId="16D24F6A">
            <w:r>
              <w:t>切换分组、列表或卡片视图并全选</w:t>
            </w:r>
          </w:p>
        </w:tc>
        <w:tc>
          <w:tcPr>
            <w:tcW w:w="2016" w:type="dxa"/>
          </w:tcPr>
          <w:p w14:paraId="6759FF7A">
            <w:r>
              <w:t xml:space="preserve">两种视图文件与计数一致，切换保留分组、搜索及选中集合；未选择时批量操作禁用，选择后可用；选中“全部”时上传按钮置灰，文件不能归入“全部”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 xml:space="preserve">三维交底以两级分组树管理模型类交底资料：一级固定为“全部”（虚拟根，汇总全部模型），二级为用户分组；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 xml:space="preserve">选择二级分组（一级“全部”仅用于查看汇总，不可作为上传归属）→ 上传模型（弹窗带出当前分组，不再选择分组）→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 xml:space="preserve">选中“全部”时上传按钮置灰并提示</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 xml:space="preserve">右侧列表刷新；选中二级分组后才可上传</w:t>
            </w:r>
          </w:p>
        </w:tc>
        <w:tc>
          <w:tcPr>
            <w:tcW w:w="2520" w:type="dxa"/>
          </w:tcPr>
          <w:p w14:paraId="26EAB2BE">
            <w:r>
              <w:t xml:space="preserve">选中“全部”时上传按钮置灰并提示“请选择左侧分组”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 xml:space="preserve">展开/收起“全部”</w:t>
            </w:r>
          </w:p>
        </w:tc>
        <w:tc>
          <w:tcPr>
            <w:tcW w:w="2520" w:type="dxa"/>
          </w:tcPr>
          <w:p w14:paraId="0364B004">
            <w:r>
              <w:t xml:space="preserve">点击“全部”箭头</w:t>
            </w:r>
          </w:p>
        </w:tc>
        <w:tc>
          <w:tcPr>
            <w:tcW w:w="2520" w:type="dxa"/>
          </w:tcPr>
          <w:p w14:paraId="1F2A6DA4">
            <w:r>
              <w:t xml:space="preserve">显示或隐藏二级分组</w:t>
            </w:r>
          </w:p>
        </w:tc>
        <w:tc>
          <w:tcPr>
            <w:tcW w:w="2520" w:type="dxa"/>
          </w:tcPr>
          <w:p w14:paraId="2425F3A8">
            <w:r>
              <w:t xml:space="preserve">—</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 xml:space="preserve">填写分组名称；固定为二级（挂在“全部”下），无上级分组选择</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 xml:space="preserve">弹窗显示“上传到：当前二级分组”，填写模型名称并选择文件（不再选择分组）</w:t>
            </w:r>
          </w:p>
        </w:tc>
        <w:tc>
          <w:tcPr>
            <w:tcW w:w="2520" w:type="dxa"/>
          </w:tcPr>
          <w:p w14:paraId="2AE9FC11">
            <w:r>
              <w:t xml:space="preserve">选中“全部”时上传按钮置灰；格式不符阻断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 xml:space="preserve">先选择访问有效期，点击提交后生成指向当前版本的分享链接，再复制链接</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 xml:space="preserve">固定两级：一级“全部”为虚拟根，二级为分组；显示文件计数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 xml:space="preserve">模型文件支持 rvt、rfa、ifc、glb、gltf 格式，其他格式阻断上传并提示。分组固定为两级：一级为固定虚拟根“全部”，二级为用户分组；新建分组只能建二级，不支持三级。上传必须在左侧选中二级分组，选中“全部”时上传按钮置灰并提示“请选择左侧分组”，不允许把模型归入“全部”；上传弹窗不再选择分组，直接带出左侧选中分组。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 xml:space="preserve">左侧选中二级分组（非“全部”）</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