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1. Características generales de la muestra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1"/>
        <w:gridCol w:w="1632"/>
      </w:tblGrid>
      <w:tr>
        <w:trPr>
          <w:trHeight w:val="5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 ± 11.2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(64%)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(36%)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Tiempo de evolución DM2 (años)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 ± 7.9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HbA1c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± 2.5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Glucemia reciente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190.3 ± 87.7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Hipertensión arterial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(61%)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Dislipidemia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(68%)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(32%)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Neuropatía periférica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(65%)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(35%)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Nefropatía diabética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(71%)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(29%)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Severidad sensibilidad corneal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(40%)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(35%)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2026-05-16T10:13:13Z</dcterms:modified>
  <cp:category/>
</cp:coreProperties>
</file>