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Pr="00F56E48" w:rsidRDefault="00645E44" w:rsidP="00F56E48">
      <w:pPr>
        <w:snapToGrid w:val="0"/>
        <w:jc w:val="center"/>
        <w:rPr>
          <w:rFonts w:ascii="微軟正黑體" w:eastAsia="微軟正黑體" w:hAnsi="微軟正黑體"/>
          <w:sz w:val="28"/>
        </w:rPr>
      </w:pPr>
      <w:proofErr w:type="spellStart"/>
      <w:r w:rsidRPr="00F56E48">
        <w:rPr>
          <w:rFonts w:ascii="微軟正黑體" w:eastAsia="微軟正黑體" w:hAnsi="微軟正黑體"/>
          <w:sz w:val="28"/>
        </w:rPr>
        <w:t>FinTech</w:t>
      </w:r>
      <w:proofErr w:type="spellEnd"/>
      <w:r w:rsidRPr="00F56E48">
        <w:rPr>
          <w:rFonts w:ascii="微軟正黑體" w:eastAsia="微軟正黑體" w:hAnsi="微軟正黑體"/>
          <w:sz w:val="28"/>
        </w:rPr>
        <w:t xml:space="preserve"> Homework 6</w:t>
      </w:r>
    </w:p>
    <w:p w:rsidR="00645E44" w:rsidRPr="00F56E48" w:rsidRDefault="00645E44" w:rsidP="00F56E48">
      <w:pPr>
        <w:snapToGrid w:val="0"/>
        <w:jc w:val="center"/>
        <w:rPr>
          <w:rFonts w:ascii="微軟正黑體" w:eastAsia="微軟正黑體" w:hAnsi="微軟正黑體"/>
          <w:sz w:val="28"/>
        </w:rPr>
      </w:pPr>
      <w:proofErr w:type="gramStart"/>
      <w:r w:rsidRPr="00F56E48">
        <w:rPr>
          <w:rFonts w:ascii="微軟正黑體" w:eastAsia="微軟正黑體" w:hAnsi="微軟正黑體" w:hint="eastAsia"/>
          <w:sz w:val="28"/>
        </w:rPr>
        <w:t>歐政鷹</w:t>
      </w:r>
      <w:proofErr w:type="gramEnd"/>
      <w:r w:rsidRPr="00F56E48">
        <w:rPr>
          <w:rFonts w:ascii="微軟正黑體" w:eastAsia="微軟正黑體" w:hAnsi="微軟正黑體"/>
          <w:sz w:val="28"/>
        </w:rPr>
        <w:tab/>
      </w:r>
      <w:r w:rsidRPr="00F56E48">
        <w:rPr>
          <w:rFonts w:ascii="微軟正黑體" w:eastAsia="微軟正黑體" w:hAnsi="微軟正黑體" w:hint="eastAsia"/>
          <w:sz w:val="28"/>
        </w:rPr>
        <w:t>R07922142</w:t>
      </w:r>
      <w:r w:rsidRPr="00F56E48">
        <w:rPr>
          <w:rFonts w:ascii="微軟正黑體" w:eastAsia="微軟正黑體" w:hAnsi="微軟正黑體" w:hint="eastAsia"/>
          <w:sz w:val="28"/>
        </w:rPr>
        <w:tab/>
        <w:t>資工所碩</w:t>
      </w:r>
      <w:proofErr w:type="gramStart"/>
      <w:r w:rsidRPr="00F56E48">
        <w:rPr>
          <w:rFonts w:ascii="微軟正黑體" w:eastAsia="微軟正黑體" w:hAnsi="微軟正黑體" w:hint="eastAsia"/>
          <w:sz w:val="28"/>
        </w:rPr>
        <w:t>一</w:t>
      </w:r>
      <w:proofErr w:type="gramEnd"/>
    </w:p>
    <w:p w:rsidR="00647909" w:rsidRPr="00F56E48" w:rsidRDefault="00647909" w:rsidP="00F56E48">
      <w:pPr>
        <w:snapToGrid w:val="0"/>
        <w:rPr>
          <w:rFonts w:ascii="微軟正黑體" w:eastAsia="微軟正黑體" w:hAnsi="微軟正黑體"/>
        </w:rPr>
      </w:pPr>
    </w:p>
    <w:p w:rsidR="00647909" w:rsidRPr="00F56E48" w:rsidRDefault="00647909" w:rsidP="00F56E48">
      <w:pPr>
        <w:snapToGrid w:val="0"/>
        <w:rPr>
          <w:rFonts w:ascii="微軟正黑體" w:eastAsia="微軟正黑體" w:hAnsi="微軟正黑體" w:hint="eastAsia"/>
          <w:b/>
          <w:sz w:val="28"/>
        </w:rPr>
      </w:pPr>
      <w:r w:rsidRPr="00F56E48">
        <w:rPr>
          <w:rFonts w:ascii="微軟正黑體" w:eastAsia="微軟正黑體" w:hAnsi="微軟正黑體" w:hint="eastAsia"/>
          <w:b/>
          <w:sz w:val="28"/>
        </w:rPr>
        <w:t>策略簡介：</w:t>
      </w:r>
    </w:p>
    <w:p w:rsidR="00647909" w:rsidRPr="00F56E48" w:rsidRDefault="00653FE9" w:rsidP="00F56E48">
      <w:pPr>
        <w:snapToGrid w:val="0"/>
        <w:ind w:firstLine="480"/>
        <w:rPr>
          <w:rFonts w:ascii="微軟正黑體" w:eastAsia="微軟正黑體" w:hAnsi="微軟正黑體"/>
        </w:rPr>
      </w:pPr>
      <w:r w:rsidRPr="00F56E48">
        <w:rPr>
          <w:rFonts w:ascii="微軟正黑體" w:eastAsia="微軟正黑體" w:hAnsi="微軟正黑體" w:hint="eastAsia"/>
        </w:rPr>
        <w:t>對沖策略是指同時</w:t>
      </w:r>
      <w:proofErr w:type="gramStart"/>
      <w:r w:rsidRPr="00F56E48">
        <w:rPr>
          <w:rFonts w:ascii="微軟正黑體" w:eastAsia="微軟正黑體" w:hAnsi="微軟正黑體" w:hint="eastAsia"/>
        </w:rPr>
        <w:t>在股指期貨</w:t>
      </w:r>
      <w:proofErr w:type="gramEnd"/>
      <w:r w:rsidRPr="00F56E48">
        <w:rPr>
          <w:rFonts w:ascii="微軟正黑體" w:eastAsia="微軟正黑體" w:hAnsi="微軟正黑體" w:hint="eastAsia"/>
        </w:rPr>
        <w:t>市場和股票市場上進行數量相當、方向相反的交易，通過兩個市場的盈虧相抵，來鎖定既得利潤（或成本），規避股票市場的系統性風險。具體做法是，已持有股票組合的投資者，預期股市面臨下跌風險，但手上持有的股票難以在短時間內迅速賣出，那麼就可以在期貨市場上賣空一定數量</w:t>
      </w:r>
      <w:proofErr w:type="gramStart"/>
      <w:r w:rsidRPr="00F56E48">
        <w:rPr>
          <w:rFonts w:ascii="微軟正黑體" w:eastAsia="微軟正黑體" w:hAnsi="微軟正黑體" w:hint="eastAsia"/>
        </w:rPr>
        <w:t>的股指期貨</w:t>
      </w:r>
      <w:proofErr w:type="gramEnd"/>
      <w:r w:rsidRPr="00F56E48">
        <w:rPr>
          <w:rFonts w:ascii="微軟正黑體" w:eastAsia="微軟正黑體" w:hAnsi="微軟正黑體" w:hint="eastAsia"/>
        </w:rPr>
        <w:t>，如果大盤下跌，</w:t>
      </w:r>
      <w:proofErr w:type="gramStart"/>
      <w:r w:rsidRPr="00F56E48">
        <w:rPr>
          <w:rFonts w:ascii="微軟正黑體" w:eastAsia="微軟正黑體" w:hAnsi="微軟正黑體" w:hint="eastAsia"/>
        </w:rPr>
        <w:t>股指期貨交易</w:t>
      </w:r>
      <w:proofErr w:type="gramEnd"/>
      <w:r w:rsidRPr="00F56E48">
        <w:rPr>
          <w:rFonts w:ascii="微軟正黑體" w:eastAsia="微軟正黑體" w:hAnsi="微軟正黑體" w:hint="eastAsia"/>
        </w:rPr>
        <w:t>中的收益可以彌補股票組合下跌的損失，達到分散股票市場下跌風險的目的。</w:t>
      </w:r>
    </w:p>
    <w:p w:rsidR="00647909" w:rsidRPr="00F56E48" w:rsidRDefault="00647909" w:rsidP="00F56E48">
      <w:pPr>
        <w:snapToGrid w:val="0"/>
        <w:rPr>
          <w:rFonts w:ascii="微軟正黑體" w:eastAsia="微軟正黑體" w:hAnsi="微軟正黑體" w:hint="eastAsia"/>
        </w:rPr>
      </w:pPr>
    </w:p>
    <w:p w:rsidR="00DD6DC2" w:rsidRPr="00F56E48" w:rsidRDefault="00647909" w:rsidP="00F56E48">
      <w:pPr>
        <w:snapToGrid w:val="0"/>
        <w:rPr>
          <w:rFonts w:ascii="微軟正黑體" w:eastAsia="微軟正黑體" w:hAnsi="微軟正黑體" w:hint="eastAsia"/>
          <w:b/>
          <w:sz w:val="28"/>
        </w:rPr>
      </w:pPr>
      <w:r w:rsidRPr="00F56E48">
        <w:rPr>
          <w:rFonts w:ascii="微軟正黑體" w:eastAsia="微軟正黑體" w:hAnsi="微軟正黑體" w:hint="eastAsia"/>
          <w:b/>
          <w:sz w:val="28"/>
        </w:rPr>
        <w:t>使用情境：</w:t>
      </w:r>
    </w:p>
    <w:p w:rsidR="00DD6DC2" w:rsidRPr="00F56E48" w:rsidRDefault="00F56E48" w:rsidP="00F56E48">
      <w:pPr>
        <w:snapToGrid w:val="0"/>
        <w:rPr>
          <w:rFonts w:ascii="微軟正黑體" w:eastAsia="微軟正黑體" w:hAnsi="微軟正黑體"/>
        </w:rPr>
      </w:pPr>
      <w:r w:rsidRPr="00F56E48">
        <w:rPr>
          <w:rFonts w:ascii="微軟正黑體" w:eastAsia="微軟正黑體" w:hAnsi="微軟正黑體"/>
        </w:rPr>
        <w:tab/>
      </w:r>
      <w:r w:rsidRPr="00F56E48">
        <w:rPr>
          <w:rFonts w:ascii="微軟正黑體" w:eastAsia="微軟正黑體" w:hAnsi="微軟正黑體" w:hint="eastAsia"/>
        </w:rPr>
        <w:t>對沖策略通過構建多空頭</w:t>
      </w:r>
      <w:proofErr w:type="gramStart"/>
      <w:r w:rsidRPr="00F56E48">
        <w:rPr>
          <w:rFonts w:ascii="微軟正黑體" w:eastAsia="微軟正黑體" w:hAnsi="微軟正黑體" w:hint="eastAsia"/>
        </w:rPr>
        <w:t>寸</w:t>
      </w:r>
      <w:proofErr w:type="gramEnd"/>
      <w:r w:rsidRPr="00F56E48">
        <w:rPr>
          <w:rFonts w:ascii="微軟正黑體" w:eastAsia="微軟正黑體" w:hAnsi="微軟正黑體" w:hint="eastAsia"/>
        </w:rPr>
        <w:t>進行風險規避，是最常見的獲得</w:t>
      </w:r>
      <w:proofErr w:type="gramStart"/>
      <w:r w:rsidRPr="00F56E48">
        <w:rPr>
          <w:rFonts w:ascii="微軟正黑體" w:eastAsia="微軟正黑體" w:hAnsi="微軟正黑體" w:hint="eastAsia"/>
        </w:rPr>
        <w:t>準</w:t>
      </w:r>
      <w:proofErr w:type="gramEnd"/>
      <w:r w:rsidRPr="00F56E48">
        <w:rPr>
          <w:rFonts w:ascii="微軟正黑體" w:eastAsia="微軟正黑體" w:hAnsi="微軟正黑體" w:hint="eastAsia"/>
        </w:rPr>
        <w:t>絕對收益的手段</w:t>
      </w:r>
      <w:proofErr w:type="gramStart"/>
      <w:r w:rsidRPr="00F56E48">
        <w:rPr>
          <w:rFonts w:ascii="微軟正黑體" w:eastAsia="微軟正黑體" w:hAnsi="微軟正黑體" w:hint="eastAsia"/>
        </w:rPr>
        <w:t>最</w:t>
      </w:r>
      <w:proofErr w:type="gramEnd"/>
      <w:r w:rsidRPr="00F56E48">
        <w:rPr>
          <w:rFonts w:ascii="微軟正黑體" w:eastAsia="微軟正黑體" w:hAnsi="微軟正黑體" w:hint="eastAsia"/>
        </w:rPr>
        <w:t>傳統的對沖策略是套利策略，通過尋找市場錯誤定價的機會，建立相反方向的頭寸來獲取收益。</w:t>
      </w:r>
    </w:p>
    <w:p w:rsidR="00F56E48" w:rsidRPr="00F56E48" w:rsidRDefault="00F56E48" w:rsidP="00F56E48">
      <w:pPr>
        <w:snapToGrid w:val="0"/>
        <w:rPr>
          <w:rFonts w:ascii="微軟正黑體" w:eastAsia="微軟正黑體" w:hAnsi="微軟正黑體"/>
        </w:rPr>
      </w:pPr>
    </w:p>
    <w:p w:rsidR="00F56E48" w:rsidRPr="00F56E48" w:rsidRDefault="00F56E48" w:rsidP="00F56E48">
      <w:pPr>
        <w:snapToGrid w:val="0"/>
        <w:rPr>
          <w:rFonts w:ascii="微軟正黑體" w:eastAsia="微軟正黑體" w:hAnsi="微軟正黑體" w:hint="eastAsia"/>
        </w:rPr>
      </w:pPr>
      <w:r w:rsidRPr="00F56E48">
        <w:rPr>
          <w:rFonts w:ascii="微軟正黑體" w:eastAsia="微軟正黑體" w:hAnsi="微軟正黑體"/>
        </w:rPr>
        <w:tab/>
      </w:r>
      <w:r w:rsidRPr="00F56E48">
        <w:rPr>
          <w:rFonts w:ascii="微軟正黑體" w:eastAsia="微軟正黑體" w:hAnsi="微軟正黑體" w:hint="eastAsia"/>
        </w:rPr>
        <w:t>套利策略包括</w:t>
      </w:r>
      <w:proofErr w:type="gramStart"/>
      <w:r w:rsidRPr="00F56E48">
        <w:rPr>
          <w:rFonts w:ascii="微軟正黑體" w:eastAsia="微軟正黑體" w:hAnsi="微軟正黑體" w:hint="eastAsia"/>
        </w:rPr>
        <w:t>轉債套利</w:t>
      </w:r>
      <w:proofErr w:type="gramEnd"/>
      <w:r w:rsidRPr="00F56E48">
        <w:rPr>
          <w:rFonts w:ascii="微軟正黑體" w:eastAsia="微軟正黑體" w:hAnsi="微軟正黑體" w:hint="eastAsia"/>
        </w:rPr>
        <w:t>、</w:t>
      </w:r>
      <w:proofErr w:type="gramStart"/>
      <w:r w:rsidRPr="00F56E48">
        <w:rPr>
          <w:rFonts w:ascii="微軟正黑體" w:eastAsia="微軟正黑體" w:hAnsi="微軟正黑體" w:hint="eastAsia"/>
        </w:rPr>
        <w:t>股指期貨期現套</w:t>
      </w:r>
      <w:proofErr w:type="gramEnd"/>
      <w:r w:rsidRPr="00F56E48">
        <w:rPr>
          <w:rFonts w:ascii="微軟正黑體" w:eastAsia="微軟正黑體" w:hAnsi="微軟正黑體" w:hint="eastAsia"/>
        </w:rPr>
        <w:t>利、</w:t>
      </w:r>
      <w:proofErr w:type="gramStart"/>
      <w:r w:rsidRPr="00F56E48">
        <w:rPr>
          <w:rFonts w:ascii="微軟正黑體" w:eastAsia="微軟正黑體" w:hAnsi="微軟正黑體" w:hint="eastAsia"/>
        </w:rPr>
        <w:t>跨期套</w:t>
      </w:r>
      <w:proofErr w:type="gramEnd"/>
      <w:r w:rsidRPr="00F56E48">
        <w:rPr>
          <w:rFonts w:ascii="微軟正黑體" w:eastAsia="微軟正黑體" w:hAnsi="微軟正黑體" w:hint="eastAsia"/>
        </w:rPr>
        <w:t>利、ETF套利等，是</w:t>
      </w:r>
      <w:proofErr w:type="gramStart"/>
      <w:r w:rsidRPr="00F56E48">
        <w:rPr>
          <w:rFonts w:ascii="微軟正黑體" w:eastAsia="微軟正黑體" w:hAnsi="微軟正黑體" w:hint="eastAsia"/>
        </w:rPr>
        <w:t>最</w:t>
      </w:r>
      <w:proofErr w:type="gramEnd"/>
      <w:r w:rsidRPr="00F56E48">
        <w:rPr>
          <w:rFonts w:ascii="微軟正黑體" w:eastAsia="微軟正黑體" w:hAnsi="微軟正黑體" w:hint="eastAsia"/>
        </w:rPr>
        <w:t>傳統的對沖策略。其本質是金融產品定價“一價原理”的運用，即當同一產品的不同表現形式之間的定價出現差異時，買入相對低估的品種、賣出相對高估的品種來獲取中間的價差收益。因此，套利策略所承受的風險是最小的，更有部分策略被稱為“無風險套利”。</w:t>
      </w:r>
    </w:p>
    <w:p w:rsidR="00DD6DC2" w:rsidRPr="00F56E48" w:rsidRDefault="00F56E48" w:rsidP="00F56E48">
      <w:pPr>
        <w:snapToGrid w:val="0"/>
        <w:rPr>
          <w:rFonts w:ascii="微軟正黑體" w:eastAsia="微軟正黑體" w:hAnsi="微軟正黑體"/>
        </w:rPr>
      </w:pPr>
      <w:r w:rsidRPr="00F56E48">
        <w:rPr>
          <w:rFonts w:ascii="微軟正黑體" w:eastAsia="微軟正黑體" w:hAnsi="微軟正黑體" w:hint="eastAsia"/>
        </w:rPr>
        <w:t xml:space="preserve">　　</w:t>
      </w:r>
      <w:bookmarkStart w:id="0" w:name="_GoBack"/>
      <w:bookmarkEnd w:id="0"/>
    </w:p>
    <w:p w:rsidR="00647909" w:rsidRPr="00F56E48" w:rsidRDefault="00DD6DC2" w:rsidP="00F56E48">
      <w:pPr>
        <w:snapToGrid w:val="0"/>
        <w:rPr>
          <w:rFonts w:ascii="微軟正黑體" w:eastAsia="微軟正黑體" w:hAnsi="微軟正黑體" w:hint="eastAsia"/>
          <w:b/>
          <w:sz w:val="28"/>
        </w:rPr>
      </w:pPr>
      <w:r w:rsidRPr="00F56E48">
        <w:rPr>
          <w:rFonts w:ascii="微軟正黑體" w:eastAsia="微軟正黑體" w:hAnsi="微軟正黑體" w:hint="eastAsia"/>
          <w:b/>
          <w:sz w:val="28"/>
        </w:rPr>
        <w:t>套利機會</w:t>
      </w:r>
      <w:r w:rsidRPr="00F56E48">
        <w:rPr>
          <w:rFonts w:ascii="微軟正黑體" w:eastAsia="微軟正黑體" w:hAnsi="微軟正黑體" w:hint="eastAsia"/>
          <w:b/>
          <w:sz w:val="28"/>
        </w:rPr>
        <w:t>：</w:t>
      </w:r>
    </w:p>
    <w:p w:rsidR="00F56E48" w:rsidRPr="00F56E48" w:rsidRDefault="00F56E48" w:rsidP="00F56E48">
      <w:pPr>
        <w:snapToGrid w:val="0"/>
        <w:rPr>
          <w:rFonts w:ascii="微軟正黑體" w:eastAsia="微軟正黑體" w:hAnsi="微軟正黑體" w:hint="eastAsia"/>
        </w:rPr>
      </w:pPr>
      <w:r w:rsidRPr="00F56E48">
        <w:rPr>
          <w:rFonts w:ascii="微軟正黑體" w:eastAsia="微軟正黑體" w:hAnsi="微軟正黑體"/>
        </w:rPr>
        <w:tab/>
      </w:r>
      <w:r w:rsidRPr="00F56E48">
        <w:rPr>
          <w:rFonts w:ascii="微軟正黑體" w:eastAsia="微軟正黑體" w:hAnsi="微軟正黑體" w:hint="eastAsia"/>
        </w:rPr>
        <w:t>A股市場發展最為成熟的套利策略應該是ETF套利，雖還不能稱產業化，但是已經有專業化從事ETF套利的投資公司。套利者通過實時監測EFT場內交易價格和IOPV之間的價差，當場內價格低於IOPV一定程度時，通過場內買入ETF，然後執行贖回操作轉換成一籃子股票賣出，來獲取EFT場內價格和IOPV之間的價差</w:t>
      </w:r>
      <w:proofErr w:type="gramStart"/>
      <w:r w:rsidRPr="00F56E48">
        <w:rPr>
          <w:rFonts w:ascii="微軟正黑體" w:eastAsia="微軟正黑體" w:hAnsi="微軟正黑體" w:hint="eastAsia"/>
        </w:rPr>
        <w:t>反之，</w:t>
      </w:r>
      <w:proofErr w:type="gramEnd"/>
      <w:r w:rsidRPr="00F56E48">
        <w:rPr>
          <w:rFonts w:ascii="微軟正黑體" w:eastAsia="微軟正黑體" w:hAnsi="微軟正黑體" w:hint="eastAsia"/>
        </w:rPr>
        <w:t>當IOPV低於場內價格時，通過買入</w:t>
      </w:r>
      <w:proofErr w:type="gramStart"/>
      <w:r w:rsidRPr="00F56E48">
        <w:rPr>
          <w:rFonts w:ascii="微軟正黑體" w:eastAsia="微軟正黑體" w:hAnsi="微軟正黑體" w:hint="eastAsia"/>
        </w:rPr>
        <w:t>一</w:t>
      </w:r>
      <w:proofErr w:type="gramEnd"/>
      <w:r w:rsidRPr="00F56E48">
        <w:rPr>
          <w:rFonts w:ascii="微軟正黑體" w:eastAsia="微軟正黑體" w:hAnsi="微軟正黑體" w:hint="eastAsia"/>
        </w:rPr>
        <w:t>籃子股票來申購ETF份額，然後場內賣出ETF來獲利。除此之外還有ETF新發階段、</w:t>
      </w:r>
      <w:proofErr w:type="gramStart"/>
      <w:r w:rsidRPr="00F56E48">
        <w:rPr>
          <w:rFonts w:ascii="微軟正黑體" w:eastAsia="微軟正黑體" w:hAnsi="微軟正黑體" w:hint="eastAsia"/>
        </w:rPr>
        <w:t>成份股停牌</w:t>
      </w:r>
      <w:proofErr w:type="gramEnd"/>
      <w:r w:rsidRPr="00F56E48">
        <w:rPr>
          <w:rFonts w:ascii="微軟正黑體" w:eastAsia="微軟正黑體" w:hAnsi="微軟正黑體" w:hint="eastAsia"/>
        </w:rPr>
        <w:t>等情形都可能出現套利機會。當然，隨著套利資金的參與，ETF套利機會在不斷收窄，因此，即使是專業從事套利的投資公司也開始向統計套利或</w:t>
      </w:r>
      <w:proofErr w:type="gramStart"/>
      <w:r w:rsidRPr="00F56E48">
        <w:rPr>
          <w:rFonts w:ascii="微軟正黑體" w:eastAsia="微軟正黑體" w:hAnsi="微軟正黑體" w:hint="eastAsia"/>
        </w:rPr>
        <w:t>延時套利</w:t>
      </w:r>
      <w:proofErr w:type="gramEnd"/>
      <w:r w:rsidRPr="00F56E48">
        <w:rPr>
          <w:rFonts w:ascii="微軟正黑體" w:eastAsia="微軟正黑體" w:hAnsi="微軟正黑體" w:hint="eastAsia"/>
        </w:rPr>
        <w:t>策略延伸。</w:t>
      </w:r>
    </w:p>
    <w:sectPr w:rsidR="00F56E48" w:rsidRPr="00F56E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9"/>
    <w:rsid w:val="004A3583"/>
    <w:rsid w:val="00645E44"/>
    <w:rsid w:val="00647909"/>
    <w:rsid w:val="00653FE9"/>
    <w:rsid w:val="00A41563"/>
    <w:rsid w:val="00DD6DC2"/>
    <w:rsid w:val="00F5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AA2A6-D4ED-4AD7-8786-91470C56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116</Words>
  <Characters>664</Characters>
  <Application>Microsoft Office Word</Application>
  <DocSecurity>0</DocSecurity>
  <Lines>5</Lines>
  <Paragraphs>1</Paragraphs>
  <ScaleCrop>false</ScaleCrop>
  <Company>ntou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2018-11-07T03:57:00Z</dcterms:created>
  <dcterms:modified xsi:type="dcterms:W3CDTF">2018-11-11T18:31:00Z</dcterms:modified>
</cp:coreProperties>
</file>