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</w:pPr>
      <w:r>
        <w:t xml:space="preserve"/>
      </w:r>
    </w:p>
    <w:p>
      <w:pPr>
        <w:spacing w:after="80" w:before="0"/>
        <w:jc w:val="center"/>
      </w:pPr>
      <w:r>
        <w:rPr>
          <w:rFonts w:ascii="Segoe UI Emoji" w:cs="Segoe UI Emoji" w:eastAsia="Segoe UI Emoji" w:hAnsi="Segoe UI Emoji"/>
          <w:color w:val="0078D4"/>
          <w:sz w:val="96"/>
          <w:szCs w:val="96"/>
        </w:rPr>
        <w:t xml:space="preserve">⚙</w:t>
      </w:r>
    </w:p>
    <w:p>
      <w:pPr>
        <w:spacing w:after="40" w:before="80"/>
        <w:jc w:val="center"/>
      </w:pPr>
      <w:r>
        <w:rPr>
          <w:rFonts w:ascii="Segoe UI" w:cs="Segoe UI" w:eastAsia="Segoe UI" w:hAnsi="Segoe UI"/>
          <w:b/>
          <w:bCs/>
          <w:color w:val="0078D4"/>
          <w:sz w:val="80"/>
          <w:szCs w:val="80"/>
        </w:rPr>
        <w:t xml:space="preserve">WingetEasy</w:t>
      </w:r>
    </w:p>
    <w:p>
      <w:pPr>
        <w:spacing w:after="60" w:before="0"/>
        <w:jc w:val="center"/>
      </w:pPr>
      <w:r>
        <w:rPr>
          <w:rFonts w:ascii="Segoe UI" w:cs="Segoe UI" w:eastAsia="Segoe UI" w:hAnsi="Segoe UI"/>
          <w:i/>
          <w:iCs/>
          <w:color w:val="424242"/>
          <w:sz w:val="28"/>
          <w:szCs w:val="28"/>
        </w:rPr>
        <w:t xml:space="preserve">Documento de Arquitetura Completo — v3.0</w:t>
      </w:r>
    </w:p>
    <w:p>
      <w:pPr>
        <w:spacing w:after="0" w:before="40"/>
      </w:pPr>
      <w:r>
        <w:t xml:space="preserve"/>
      </w:r>
    </w:p>
    <w:p>
      <w:pPr>
        <w:pBdr>
          <w:top w:val="single" w:color="CCE4F6" w:sz="2" w:space="4"/>
          <w:bottom w:val="single" w:color="CCE4F6" w:sz="2" w:space="4"/>
        </w:pBdr>
        <w:spacing w:after="80" w:before="80"/>
        <w:jc w:val="center"/>
      </w:pPr>
      <w:r>
        <w:rPr>
          <w:rFonts w:ascii="Segoe UI" w:cs="Segoe UI" w:eastAsia="Segoe UI" w:hAnsi="Segoe UI"/>
          <w:color w:val="6E6E6E"/>
          <w:sz w:val="22"/>
          <w:szCs w:val="22"/>
        </w:rPr>
        <w:t xml:space="preserve">C# 12  •  WinUI 3  •  Windows App SDK  •  EF Core 8  •  MSIX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Borders>
              <w:top w:val="single" w:color="CCE4F6" w:sz="1"/>
              <w:left w:val="single" w:color="CCE4F6" w:sz="1"/>
              <w:bottom w:val="single" w:color="CCE4F6" w:sz="1"/>
              <w:right w:val="single" w:color="CCE4F6" w:sz="1"/>
            </w:tcBorders>
            <w:shd w:fill="EBF3FB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0078D4"/>
                <w:sz w:val="22"/>
                <w:szCs w:val="22"/>
              </w:rPr>
              <w:t xml:space="preserve">Arquitetura</w:t>
            </w:r>
          </w:p>
          <w:p>
            <w:pPr>
              <w:jc w:val="center"/>
            </w:pPr>
            <w:r>
              <w:rPr>
                <w:rFonts w:ascii="Segoe UI" w:cs="Segoe UI" w:eastAsia="Segoe UI" w:hAnsi="Segoe UI"/>
                <w:color w:val="424242"/>
                <w:sz w:val="18"/>
                <w:szCs w:val="18"/>
              </w:rPr>
              <w:t xml:space="preserve">C# + WinUI 3</w:t>
            </w:r>
          </w:p>
        </w:tc>
        <w:tc>
          <w:tcPr>
            <w:tcBorders>
              <w:top w:val="single" w:color="CCE4F6" w:sz="1"/>
              <w:left w:val="single" w:color="CCE4F6" w:sz="1"/>
              <w:bottom w:val="single" w:color="CCE4F6" w:sz="1"/>
              <w:right w:val="single" w:color="CCE4F6" w:sz="1"/>
            </w:tcBorders>
            <w:shd w:fill="EBF3FB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0078D4"/>
                <w:sz w:val="22"/>
                <w:szCs w:val="22"/>
              </w:rPr>
              <w:t xml:space="preserve">Distribuição</w:t>
            </w:r>
          </w:p>
          <w:p>
            <w:pPr>
              <w:jc w:val="center"/>
            </w:pPr>
            <w:r>
              <w:rPr>
                <w:rFonts w:ascii="Segoe UI" w:cs="Segoe UI" w:eastAsia="Segoe UI" w:hAnsi="Segoe UI"/>
                <w:color w:val="424242"/>
                <w:sz w:val="18"/>
                <w:szCs w:val="18"/>
              </w:rPr>
              <w:t xml:space="preserve">MSIX + winget-pkgs</w:t>
            </w:r>
          </w:p>
        </w:tc>
        <w:tc>
          <w:tcPr>
            <w:tcBorders>
              <w:top w:val="single" w:color="CCE4F6" w:sz="1"/>
              <w:left w:val="single" w:color="CCE4F6" w:sz="1"/>
              <w:bottom w:val="single" w:color="CCE4F6" w:sz="1"/>
              <w:right w:val="single" w:color="CCE4F6" w:sz="1"/>
            </w:tcBorders>
            <w:shd w:fill="EBF3FB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0078D4"/>
                <w:sz w:val="22"/>
                <w:szCs w:val="22"/>
              </w:rPr>
              <w:t xml:space="preserve">45 Issues</w:t>
            </w:r>
          </w:p>
          <w:p>
            <w:pPr>
              <w:jc w:val="center"/>
            </w:pPr>
            <w:r>
              <w:rPr>
                <w:rFonts w:ascii="Segoe UI" w:cs="Segoe UI" w:eastAsia="Segoe UI" w:hAnsi="Segoe UI"/>
                <w:color w:val="424242"/>
                <w:sz w:val="18"/>
                <w:szCs w:val="18"/>
              </w:rPr>
              <w:t xml:space="preserve">Roadmap completo</w:t>
            </w:r>
          </w:p>
        </w:tc>
        <w:tc>
          <w:tcPr>
            <w:tcBorders>
              <w:top w:val="single" w:color="CCE4F6" w:sz="1"/>
              <w:left w:val="single" w:color="CCE4F6" w:sz="1"/>
              <w:bottom w:val="single" w:color="CCE4F6" w:sz="1"/>
              <w:right w:val="single" w:color="CCE4F6" w:sz="1"/>
            </w:tcBorders>
            <w:shd w:fill="EBF3FB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0078D4"/>
                <w:sz w:val="22"/>
                <w:szCs w:val="22"/>
              </w:rPr>
              <w:t xml:space="preserve">Open Source</w:t>
            </w:r>
          </w:p>
          <w:p>
            <w:pPr>
              <w:jc w:val="center"/>
            </w:pPr>
            <w:r>
              <w:rPr>
                <w:rFonts w:ascii="Segoe UI" w:cs="Segoe UI" w:eastAsia="Segoe UI" w:hAnsi="Segoe UI"/>
                <w:color w:val="424242"/>
                <w:sz w:val="18"/>
                <w:szCs w:val="18"/>
              </w:rPr>
              <w:t xml:space="preserve">DX documentada</w:t>
            </w:r>
          </w:p>
        </w:tc>
      </w:tr>
    </w:tbl>
    <w:p>
      <w:pPr>
        <w:spacing w:after="0" w:before="1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078D4" w:sz="4" w:space="6"/>
        </w:pBdr>
        <w:spacing w:after="120" w:before="400"/>
      </w:pPr>
      <w:r>
        <w:rPr>
          <w:rFonts w:ascii="Segoe UI" w:cs="Segoe UI" w:eastAsia="Segoe UI" w:hAnsi="Segoe UI"/>
          <w:b/>
          <w:bCs/>
          <w:color w:val="0078D4"/>
          <w:sz w:val="34"/>
          <w:szCs w:val="34"/>
        </w:rPr>
        <w:t xml:space="preserve">1. Visão Geral do Projeto</w:t>
      </w:r>
    </w:p>
    <w:p>
      <w:pPr>
        <w:spacing w:after="60" w:before="40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B1B1B"/>
          <w:sz w:val="22"/>
          <w:szCs w:val="22"/>
        </w:rPr>
        <w:t xml:space="preserve">O WingetEasy é um gerenciador de atualizações nativo para Windows, construído em C# com WinUI 3. Funciona como uma camada visual elegante sobre o Winget CLI, rodando em segundo plano, notificando o usuário quando há pacotes desatualizados e oferecendo controle total sobre o que e quando atualizar.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078D4" w:sz="1"/>
              <w:left w:val="single" w:color="0078D4" w:sz="1"/>
              <w:bottom w:val="single" w:color="0078D4" w:sz="1"/>
              <w:right w:val="single" w:color="0078D4" w:sz="1"/>
            </w:tcBorders>
            <w:shd w:fill="0078D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2"/>
                <w:szCs w:val="22"/>
              </w:rPr>
              <w:t xml:space="preserve">Por que C# + WinUI 3?</w:t>
            </w:r>
          </w:p>
        </w:tc>
      </w:tr>
      <w:tr>
        <w:tc>
          <w:tcPr>
            <w:tcBorders>
              <w:top w:val="single" w:color="0078D4" w:sz="1"/>
              <w:left w:val="single" w:color="0078D4" w:sz="1"/>
              <w:bottom w:val="single" w:color="0078D4" w:sz="1"/>
              <w:right w:val="single" w:color="0078D4" w:sz="1"/>
            </w:tcBorders>
            <w:shd w:fill="EBF3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Segoe UI" w:cs="Segoe UI" w:eastAsia="Segoe UI" w:hAnsi="Segoe UI"/>
                <w:color w:val="1B1B1B"/>
                <w:sz w:val="21"/>
                <w:szCs w:val="21"/>
              </w:rPr>
              <w:t xml:space="preserve">WinUI 3 é o framework atual da Microsoft — o mesmo usado no File Explorer e nos apps da Microsoft Store.</w:t>
            </w:r>
          </w:p>
        </w:tc>
      </w:tr>
      <w:tr>
        <w:tc>
          <w:tcPr>
            <w:tcBorders>
              <w:top w:val="single" w:color="0078D4" w:sz="1"/>
              <w:left w:val="single" w:color="0078D4" w:sz="1"/>
              <w:bottom w:val="single" w:color="0078D4" w:sz="1"/>
              <w:right w:val="single" w:color="0078D4" w:sz="1"/>
            </w:tcBorders>
            <w:shd w:fill="EBF3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Segoe UI" w:cs="Segoe UI" w:eastAsia="Segoe UI" w:hAnsi="Segoe UI"/>
                <w:color w:val="1B1B1B"/>
                <w:sz w:val="21"/>
                <w:szCs w:val="21"/>
              </w:rPr>
              <w:t xml:space="preserve">Fluent Design, Mica, Acrylic, animações e notificações Toast são componentes de primeira classe — sem gambiarras.</w:t>
            </w:r>
          </w:p>
        </w:tc>
      </w:tr>
      <w:tr>
        <w:tc>
          <w:tcPr>
            <w:tcBorders>
              <w:top w:val="single" w:color="0078D4" w:sz="1"/>
              <w:left w:val="single" w:color="0078D4" w:sz="1"/>
              <w:bottom w:val="single" w:color="0078D4" w:sz="1"/>
              <w:right w:val="single" w:color="0078D4" w:sz="1"/>
            </w:tcBorders>
            <w:shd w:fill="EBF3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Segoe UI" w:cs="Segoe UI" w:eastAsia="Segoe UI" w:hAnsi="Segoe UI"/>
                <w:color w:val="1B1B1B"/>
                <w:sz w:val="21"/>
                <w:szCs w:val="21"/>
              </w:rPr>
              <w:t xml:space="preserve">MSIX gerado nativamente pelo Visual Studio — instalação, atualização e remoção limpas sem lixo no sistema.</w:t>
            </w:r>
          </w:p>
        </w:tc>
      </w:tr>
      <w:tr>
        <w:tc>
          <w:tcPr>
            <w:tcBorders>
              <w:top w:val="single" w:color="0078D4" w:sz="1"/>
              <w:left w:val="single" w:color="0078D4" w:sz="1"/>
              <w:bottom w:val="single" w:color="0078D4" w:sz="1"/>
              <w:right w:val="single" w:color="0078D4" w:sz="1"/>
            </w:tcBorders>
            <w:shd w:fill="EBF3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Segoe UI" w:cs="Segoe UI" w:eastAsia="Segoe UI" w:hAnsi="Segoe UI"/>
                <w:color w:val="1B1B1B"/>
                <w:sz w:val="21"/>
                <w:szCs w:val="21"/>
              </w:rPr>
              <w:t xml:space="preserve">Performance: meta de menos de 40 MB de RAM em idle — impossível com Python/Electron.</w:t>
            </w:r>
          </w:p>
        </w:tc>
      </w:tr>
      <w:tr>
        <w:tc>
          <w:tcPr>
            <w:tcBorders>
              <w:top w:val="single" w:color="0078D4" w:sz="1"/>
              <w:left w:val="single" w:color="0078D4" w:sz="1"/>
              <w:bottom w:val="single" w:color="0078D4" w:sz="1"/>
              <w:right w:val="single" w:color="0078D4" w:sz="1"/>
            </w:tcBorders>
            <w:shd w:fill="EBF3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Segoe UI" w:cs="Segoe UI" w:eastAsia="Segoe UI" w:hAnsi="Segoe UI"/>
                <w:color w:val="1B1B1B"/>
                <w:sz w:val="21"/>
                <w:szCs w:val="21"/>
              </w:rPr>
              <w:t xml:space="preserve">Open source com C# tem histórico forte de adoção: PowerToys, Files App, Flow Launcher.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078D4" w:sz="4" w:space="6"/>
        </w:pBdr>
        <w:spacing w:after="120" w:before="400"/>
      </w:pPr>
      <w:r>
        <w:rPr>
          <w:rFonts w:ascii="Segoe UI" w:cs="Segoe UI" w:eastAsia="Segoe UI" w:hAnsi="Segoe UI"/>
          <w:b/>
          <w:bCs/>
          <w:color w:val="0078D4"/>
          <w:sz w:val="34"/>
          <w:szCs w:val="34"/>
        </w:rPr>
        <w:t xml:space="preserve">2. Stack Tecnológica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560"/>
        <w:gridCol w:w="3000"/>
      </w:tblGrid>
      <w:tr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3F6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1A1A2E"/>
                <w:sz w:val="21"/>
                <w:szCs w:val="21"/>
              </w:rPr>
              <w:t xml:space="preserve">Camada</w:t>
            </w:r>
          </w:p>
        </w:tc>
        <w:tc>
          <w:tcPr>
            <w:tcW w:type="dxa" w:w="3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3F6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1A1A2E"/>
                <w:sz w:val="21"/>
                <w:szCs w:val="21"/>
              </w:rPr>
              <w:t xml:space="preserve">Tecnologia / NuGet</w:t>
            </w:r>
          </w:p>
        </w:tc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3F6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1A1A2E"/>
                <w:sz w:val="21"/>
                <w:szCs w:val="21"/>
              </w:rPr>
              <w:t xml:space="preserve">Propósito</w:t>
            </w:r>
          </w:p>
        </w:tc>
      </w:tr>
      <w:tr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424242"/>
                <w:sz w:val="20"/>
                <w:szCs w:val="20"/>
              </w:rPr>
              <w:t xml:space="preserve">Linguagem</w:t>
            </w:r>
          </w:p>
        </w:tc>
        <w:tc>
          <w:tcPr>
            <w:tcW w:type="dxa" w:w="3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424242"/>
                <w:sz w:val="20"/>
                <w:szCs w:val="20"/>
              </w:rPr>
              <w:t xml:space="preserve">C# 12 / .NET 8 LTS</w:t>
            </w:r>
          </w:p>
        </w:tc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424242"/>
                <w:sz w:val="20"/>
                <w:szCs w:val="20"/>
              </w:rPr>
              <w:t xml:space="preserve">Base — tipagem forte, async nativo, records imutáveis</w:t>
            </w:r>
          </w:p>
        </w:tc>
      </w:tr>
      <w:tr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AFB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424242"/>
                <w:sz w:val="20"/>
                <w:szCs w:val="20"/>
              </w:rPr>
              <w:t xml:space="preserve">UI Framework</w:t>
            </w:r>
          </w:p>
        </w:tc>
        <w:tc>
          <w:tcPr>
            <w:tcW w:type="dxa" w:w="3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AFB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424242"/>
                <w:sz w:val="20"/>
                <w:szCs w:val="20"/>
              </w:rPr>
              <w:t xml:space="preserve">WinUI 3 (Windows App SDK 1.5+)</w:t>
            </w:r>
          </w:p>
        </w:tc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AFB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424242"/>
                <w:sz w:val="20"/>
                <w:szCs w:val="20"/>
              </w:rPr>
              <w:t xml:space="preserve">Fluent Design, temas, animações nativas</w:t>
            </w:r>
          </w:p>
        </w:tc>
      </w:tr>
      <w:tr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424242"/>
                <w:sz w:val="20"/>
                <w:szCs w:val="20"/>
              </w:rPr>
              <w:t xml:space="preserve">Material visual</w:t>
            </w:r>
          </w:p>
        </w:tc>
        <w:tc>
          <w:tcPr>
            <w:tcW w:type="dxa" w:w="3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424242"/>
                <w:sz w:val="20"/>
                <w:szCs w:val="20"/>
              </w:rPr>
              <w:t xml:space="preserve">Mica / Acrylic (WinUI 3 nativo)</w:t>
            </w:r>
          </w:p>
        </w:tc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424242"/>
                <w:sz w:val="20"/>
                <w:szCs w:val="20"/>
              </w:rPr>
              <w:t xml:space="preserve">Fundo translúcido integrado ao wallpaper</w:t>
            </w:r>
          </w:p>
        </w:tc>
      </w:tr>
      <w:tr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AFB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424242"/>
                <w:sz w:val="20"/>
                <w:szCs w:val="20"/>
              </w:rPr>
              <w:t xml:space="preserve">MVVM</w:t>
            </w:r>
          </w:p>
        </w:tc>
        <w:tc>
          <w:tcPr>
            <w:tcW w:type="dxa" w:w="3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AFB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424242"/>
                <w:sz w:val="20"/>
                <w:szCs w:val="20"/>
              </w:rPr>
              <w:t xml:space="preserve">CommunityToolkit.Mvvm 8.x</w:t>
            </w:r>
          </w:p>
        </w:tc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AFB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424242"/>
                <w:sz w:val="20"/>
                <w:szCs w:val="20"/>
              </w:rPr>
              <w:t xml:space="preserve">ObservableObject, RelayCommand — elimina boilerplate</w:t>
            </w:r>
          </w:p>
        </w:tc>
      </w:tr>
      <w:tr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424242"/>
                <w:sz w:val="20"/>
                <w:szCs w:val="20"/>
              </w:rPr>
              <w:t xml:space="preserve">Notificações</w:t>
            </w:r>
          </w:p>
        </w:tc>
        <w:tc>
          <w:tcPr>
            <w:tcW w:type="dxa" w:w="3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424242"/>
                <w:sz w:val="20"/>
                <w:szCs w:val="20"/>
              </w:rPr>
              <w:t xml:space="preserve">Windows Runtime (nativo)</w:t>
            </w:r>
          </w:p>
        </w:tc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424242"/>
                <w:sz w:val="20"/>
                <w:szCs w:val="20"/>
              </w:rPr>
              <w:t xml:space="preserve">Toast Notifications interativas com Action Center</w:t>
            </w:r>
          </w:p>
        </w:tc>
      </w:tr>
      <w:tr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AFB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424242"/>
                <w:sz w:val="20"/>
                <w:szCs w:val="20"/>
              </w:rPr>
              <w:t xml:space="preserve">Tray icon</w:t>
            </w:r>
          </w:p>
        </w:tc>
        <w:tc>
          <w:tcPr>
            <w:tcW w:type="dxa" w:w="3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AFB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424242"/>
                <w:sz w:val="20"/>
                <w:szCs w:val="20"/>
              </w:rPr>
              <w:t xml:space="preserve">H.NotifyIcon.WinUI 2.x</w:t>
            </w:r>
          </w:p>
        </w:tc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AFB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424242"/>
                <w:sz w:val="20"/>
                <w:szCs w:val="20"/>
              </w:rPr>
              <w:t xml:space="preserve">System tray icon com menu contextual nativo</w:t>
            </w:r>
          </w:p>
        </w:tc>
      </w:tr>
      <w:tr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424242"/>
                <w:sz w:val="20"/>
                <w:szCs w:val="20"/>
              </w:rPr>
              <w:t xml:space="preserve">ORM / Banco</w:t>
            </w:r>
          </w:p>
        </w:tc>
        <w:tc>
          <w:tcPr>
            <w:tcW w:type="dxa" w:w="3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424242"/>
                <w:sz w:val="20"/>
                <w:szCs w:val="20"/>
              </w:rPr>
              <w:t xml:space="preserve">EF Core 8 + SQLite</w:t>
            </w:r>
          </w:p>
        </w:tc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424242"/>
                <w:sz w:val="20"/>
                <w:szCs w:val="20"/>
              </w:rPr>
              <w:t xml:space="preserve">Banco local com migrations automáticas</w:t>
            </w:r>
          </w:p>
        </w:tc>
      </w:tr>
      <w:tr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AFB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424242"/>
                <w:sz w:val="20"/>
                <w:szCs w:val="20"/>
              </w:rPr>
              <w:t xml:space="preserve">Logging</w:t>
            </w:r>
          </w:p>
        </w:tc>
        <w:tc>
          <w:tcPr>
            <w:tcW w:type="dxa" w:w="3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AFB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424242"/>
                <w:sz w:val="20"/>
                <w:szCs w:val="20"/>
              </w:rPr>
              <w:t xml:space="preserve">Serilog + Sinks.File</w:t>
            </w:r>
          </w:p>
        </w:tc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AFB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424242"/>
                <w:sz w:val="20"/>
                <w:szCs w:val="20"/>
              </w:rPr>
              <w:t xml:space="preserve">Log estruturado rotacionado, 7 dias de retenção</w:t>
            </w:r>
          </w:p>
        </w:tc>
      </w:tr>
      <w:tr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424242"/>
                <w:sz w:val="20"/>
                <w:szCs w:val="20"/>
              </w:rPr>
              <w:t xml:space="preserve">Agendamento</w:t>
            </w:r>
          </w:p>
        </w:tc>
        <w:tc>
          <w:tcPr>
            <w:tcW w:type="dxa" w:w="3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424242"/>
                <w:sz w:val="20"/>
                <w:szCs w:val="20"/>
              </w:rPr>
              <w:t xml:space="preserve">Windows Task Scheduler (Win32)</w:t>
            </w:r>
          </w:p>
        </w:tc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424242"/>
                <w:sz w:val="20"/>
                <w:szCs w:val="20"/>
              </w:rPr>
              <w:t xml:space="preserve">Agendamento nativo — sobrevive a hibernações</w:t>
            </w:r>
          </w:p>
        </w:tc>
      </w:tr>
      <w:tr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AFB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424242"/>
                <w:sz w:val="20"/>
                <w:szCs w:val="20"/>
              </w:rPr>
              <w:t xml:space="preserve">CLI args</w:t>
            </w:r>
          </w:p>
        </w:tc>
        <w:tc>
          <w:tcPr>
            <w:tcW w:type="dxa" w:w="3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AFB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424242"/>
                <w:sz w:val="20"/>
                <w:szCs w:val="20"/>
              </w:rPr>
              <w:t xml:space="preserve">System.CommandLine</w:t>
            </w:r>
          </w:p>
        </w:tc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AFB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424242"/>
                <w:sz w:val="20"/>
                <w:szCs w:val="20"/>
              </w:rPr>
              <w:t xml:space="preserve">Modo headless robusto com --help automático</w:t>
            </w:r>
          </w:p>
        </w:tc>
      </w:tr>
      <w:tr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424242"/>
                <w:sz w:val="20"/>
                <w:szCs w:val="20"/>
              </w:rPr>
              <w:t xml:space="preserve">Auto-update</w:t>
            </w:r>
          </w:p>
        </w:tc>
        <w:tc>
          <w:tcPr>
            <w:tcW w:type="dxa" w:w="3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424242"/>
                <w:sz w:val="20"/>
                <w:szCs w:val="20"/>
              </w:rPr>
              <w:t xml:space="preserve">Velopack 1.x</w:t>
            </w:r>
          </w:p>
        </w:tc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424242"/>
                <w:sz w:val="20"/>
                <w:szCs w:val="20"/>
              </w:rPr>
              <w:t xml:space="preserve">Auto-atualização delta no próximo restart</w:t>
            </w:r>
          </w:p>
        </w:tc>
      </w:tr>
      <w:tr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AFB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424242"/>
                <w:sz w:val="20"/>
                <w:szCs w:val="20"/>
              </w:rPr>
              <w:t xml:space="preserve">DI Container</w:t>
            </w:r>
          </w:p>
        </w:tc>
        <w:tc>
          <w:tcPr>
            <w:tcW w:type="dxa" w:w="3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AFB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424242"/>
                <w:sz w:val="20"/>
                <w:szCs w:val="20"/>
              </w:rPr>
              <w:t xml:space="preserve">Microsoft.Extensions.DependencyInjection</w:t>
            </w:r>
          </w:p>
        </w:tc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AFB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424242"/>
                <w:sz w:val="20"/>
                <w:szCs w:val="20"/>
              </w:rPr>
              <w:t xml:space="preserve">Injeção de dependência — testabilidade total</w:t>
            </w:r>
          </w:p>
        </w:tc>
      </w:tr>
      <w:tr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424242"/>
                <w:sz w:val="20"/>
                <w:szCs w:val="20"/>
              </w:rPr>
              <w:t xml:space="preserve">Testes</w:t>
            </w:r>
          </w:p>
        </w:tc>
        <w:tc>
          <w:tcPr>
            <w:tcW w:type="dxa" w:w="3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424242"/>
                <w:sz w:val="20"/>
                <w:szCs w:val="20"/>
              </w:rPr>
              <w:t xml:space="preserve">xUnit + Moq + FluentAssertions</w:t>
            </w:r>
          </w:p>
        </w:tc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424242"/>
                <w:sz w:val="20"/>
                <w:szCs w:val="20"/>
              </w:rPr>
              <w:t xml:space="preserve">Testes unitários e de repositório</w:t>
            </w:r>
          </w:p>
        </w:tc>
      </w:tr>
      <w:tr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AFB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424242"/>
                <w:sz w:val="20"/>
                <w:szCs w:val="20"/>
              </w:rPr>
              <w:t xml:space="preserve">Distribuição</w:t>
            </w:r>
          </w:p>
        </w:tc>
        <w:tc>
          <w:tcPr>
            <w:tcW w:type="dxa" w:w="3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AFB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424242"/>
                <w:sz w:val="20"/>
                <w:szCs w:val="20"/>
              </w:rPr>
              <w:t xml:space="preserve">MSIX (Visual Studio)</w:t>
            </w:r>
          </w:p>
        </w:tc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AFB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424242"/>
                <w:sz w:val="20"/>
                <w:szCs w:val="20"/>
              </w:rPr>
              <w:t xml:space="preserve">Instalador moderno — sem lixo no sistema</w:t>
            </w:r>
          </w:p>
        </w:tc>
      </w:tr>
      <w:tr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424242"/>
                <w:sz w:val="20"/>
                <w:szCs w:val="20"/>
              </w:rPr>
              <w:t xml:space="preserve">CI/CD</w:t>
            </w:r>
          </w:p>
        </w:tc>
        <w:tc>
          <w:tcPr>
            <w:tcW w:type="dxa" w:w="3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424242"/>
                <w:sz w:val="20"/>
                <w:szCs w:val="20"/>
              </w:rPr>
              <w:t xml:space="preserve">GitHub Actions</w:t>
            </w:r>
          </w:p>
        </w:tc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424242"/>
                <w:sz w:val="20"/>
                <w:szCs w:val="20"/>
              </w:rPr>
              <w:t xml:space="preserve">Build, testes, assinatura e release automatizados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078D4" w:sz="4" w:space="6"/>
        </w:pBdr>
        <w:spacing w:after="120" w:before="400"/>
      </w:pPr>
      <w:r>
        <w:rPr>
          <w:rFonts w:ascii="Segoe UI" w:cs="Segoe UI" w:eastAsia="Segoe UI" w:hAnsi="Segoe UI"/>
          <w:b/>
          <w:bCs/>
          <w:color w:val="0078D4"/>
          <w:sz w:val="34"/>
          <w:szCs w:val="34"/>
        </w:rPr>
        <w:t xml:space="preserve">3. Arquitetura — MVVM em Camadas</w:t>
      </w:r>
    </w:p>
    <w:p>
      <w:pPr>
        <w:spacing w:after="60" w:before="40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B1B1B"/>
          <w:sz w:val="22"/>
          <w:szCs w:val="22"/>
        </w:rPr>
        <w:t xml:space="preserve">O WingetEasy segue o padrão MVVM com separação estrita em três projetos. A regra mais importante: nenhuma camada conhece as camadas acima dela. View conhece ViewModel. ViewModel conhece interfaces de serviço. Services conhecem interfaces de repositório. Repositórios conhecem o banco.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078D4" w:sz="1"/>
              <w:left w:val="single" w:color="0078D4" w:sz="1"/>
              <w:bottom w:val="single" w:color="0078D4" w:sz="1"/>
              <w:right w:val="single" w:color="0078D4" w:sz="1"/>
            </w:tcBorders>
            <w:shd w:fill="F3F6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424242"/>
                <w:sz w:val="18"/>
                <w:szCs w:val="18"/>
              </w:rPr>
              <w:t xml:space="preserve">┌─────────────────────────────────────────────────────────────────┐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424242"/>
                <w:sz w:val="18"/>
                <w:szCs w:val="18"/>
              </w:rPr>
              <w:t xml:space="preserve">│              WingetEasy.App  (View + ViewModel)                 │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424242"/>
                <w:sz w:val="18"/>
                <w:szCs w:val="18"/>
              </w:rPr>
              <w:t xml:space="preserve">│  Views/        ViewModels/       Controls/        Assets/       │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424242"/>
                <w:sz w:val="18"/>
                <w:szCs w:val="18"/>
              </w:rPr>
              <w:t xml:space="preserve">│  *.xaml        *ViewModel.cs     *Control.xaml    *.ico *.png   │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424242"/>
                <w:sz w:val="18"/>
                <w:szCs w:val="18"/>
              </w:rPr>
              <w:t xml:space="preserve">│                    │ depende de (via DI)                        │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424242"/>
                <w:sz w:val="18"/>
                <w:szCs w:val="18"/>
              </w:rPr>
              <w:t xml:space="preserve">├────────────────────┼────────────────────────────────────────────┤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424242"/>
                <w:sz w:val="18"/>
                <w:szCs w:val="18"/>
              </w:rPr>
              <w:t xml:space="preserve">│              WingetEasy.Core  (Serviços + Domínio)              │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424242"/>
                <w:sz w:val="18"/>
                <w:szCs w:val="18"/>
              </w:rPr>
              <w:t xml:space="preserve">│  Interfaces/       Services/           Models/                  │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424242"/>
                <w:sz w:val="18"/>
                <w:szCs w:val="18"/>
              </w:rPr>
              <w:t xml:space="preserve">│  I*Service.cs      *Service.cs          *.record.cs             │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424242"/>
                <w:sz w:val="18"/>
                <w:szCs w:val="18"/>
              </w:rPr>
              <w:t xml:space="preserve">│                    │ depende de (via DI)                        │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424242"/>
                <w:sz w:val="18"/>
                <w:szCs w:val="18"/>
              </w:rPr>
              <w:t xml:space="preserve">├────────────────────┼────────────────────────────────────────────┤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424242"/>
                <w:sz w:val="18"/>
                <w:szCs w:val="18"/>
              </w:rPr>
              <w:t xml:space="preserve">│              WingetEasy.Data  (Banco de Dados)                  │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424242"/>
                <w:sz w:val="18"/>
                <w:szCs w:val="18"/>
              </w:rPr>
              <w:t xml:space="preserve">│  Entities/         Repositories/       Migrations/              │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424242"/>
                <w:sz w:val="18"/>
                <w:szCs w:val="18"/>
              </w:rPr>
              <w:t xml:space="preserve">│  *Entity.cs        *Repository.cs      [geradas pelo EF Core]   │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424242"/>
                <w:sz w:val="18"/>
                <w:szCs w:val="18"/>
              </w:rPr>
              <w:t xml:space="preserve">│                    │                                            │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424242"/>
                <w:sz w:val="18"/>
                <w:szCs w:val="18"/>
              </w:rPr>
              <w:t xml:space="preserve">├────────────────────┼────────────────────────────────────────────┤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424242"/>
                <w:sz w:val="18"/>
                <w:szCs w:val="18"/>
              </w:rPr>
              <w:t xml:space="preserve">│              Windows OS                                         │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424242"/>
                <w:sz w:val="18"/>
                <w:szCs w:val="18"/>
              </w:rPr>
              <w:t xml:space="preserve">│  winget.exe   Task Scheduler   UAC/Admin   Toast   Registry     │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424242"/>
                <w:sz w:val="18"/>
                <w:szCs w:val="18"/>
              </w:rPr>
              <w:t xml:space="preserve">└─────────────────────────────────────────────────────────────────┘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424242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424242"/>
                <w:sz w:val="18"/>
                <w:szCs w:val="18"/>
              </w:rPr>
              <w:t xml:space="preserve">Referências entre projetos: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424242"/>
                <w:sz w:val="18"/>
                <w:szCs w:val="18"/>
              </w:rPr>
              <w:t xml:space="preserve">  App → Core  (interfaces e models)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424242"/>
                <w:sz w:val="18"/>
                <w:szCs w:val="18"/>
              </w:rPr>
              <w:t xml:space="preserve">  App → Data  (repositórios via DI)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424242"/>
                <w:sz w:val="18"/>
                <w:szCs w:val="18"/>
              </w:rPr>
              <w:t xml:space="preserve">  Data → Core (models compartilhados)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424242"/>
                <w:sz w:val="18"/>
                <w:szCs w:val="18"/>
              </w:rPr>
              <w:t xml:space="preserve">  Core NÃO conhece App nem Data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80" w:before="260"/>
      </w:pPr>
      <w:r>
        <w:rPr>
          <w:rFonts w:ascii="Segoe UI" w:cs="Segoe UI" w:eastAsia="Segoe UI" w:hAnsi="Segoe UI"/>
          <w:b/>
          <w:bCs/>
          <w:color w:val="1A1A2E"/>
          <w:sz w:val="27"/>
          <w:szCs w:val="27"/>
        </w:rPr>
        <w:t xml:space="preserve">Regra de Ouro — Onde cada coisa fica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2000"/>
        <w:gridCol w:w="3560"/>
      </w:tblGrid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3F6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1A1A2E"/>
                <w:sz w:val="21"/>
                <w:szCs w:val="21"/>
              </w:rPr>
              <w:t xml:space="preserve">Quero mexer em…</w:t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3F6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1A1A2E"/>
                <w:sz w:val="21"/>
                <w:szCs w:val="21"/>
              </w:rPr>
              <w:t xml:space="preserve">Projeto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3F6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1A1A2E"/>
                <w:sz w:val="21"/>
                <w:szCs w:val="21"/>
              </w:rPr>
              <w:t xml:space="preserve">Pasta</w:t>
            </w:r>
          </w:p>
        </w:tc>
        <w:tc>
          <w:tcPr>
            <w:tcW w:type="dxa" w:w="3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3F6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1A1A2E"/>
                <w:sz w:val="21"/>
                <w:szCs w:val="21"/>
              </w:rPr>
              <w:t xml:space="preserve">Arquivo</w:t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424242"/>
                <w:sz w:val="20"/>
                <w:szCs w:val="20"/>
              </w:rPr>
              <w:t xml:space="preserve">Layout, visual, animações</w:t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424242"/>
                <w:sz w:val="20"/>
                <w:szCs w:val="20"/>
              </w:rPr>
              <w:t xml:space="preserve">App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424242"/>
                <w:sz w:val="20"/>
                <w:szCs w:val="20"/>
              </w:rPr>
              <w:t xml:space="preserve">Views/</w:t>
            </w:r>
          </w:p>
        </w:tc>
        <w:tc>
          <w:tcPr>
            <w:tcW w:type="dxa" w:w="3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424242"/>
                <w:sz w:val="20"/>
                <w:szCs w:val="20"/>
              </w:rPr>
              <w:t xml:space="preserve">*Page.xaml / *Window.xaml</w:t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AFB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424242"/>
                <w:sz w:val="20"/>
                <w:szCs w:val="20"/>
              </w:rPr>
              <w:t xml:space="preserve">Lógica de uma tela</w:t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AFB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424242"/>
                <w:sz w:val="20"/>
                <w:szCs w:val="20"/>
              </w:rPr>
              <w:t xml:space="preserve">App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AFB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424242"/>
                <w:sz w:val="20"/>
                <w:szCs w:val="20"/>
              </w:rPr>
              <w:t xml:space="preserve">ViewModels/</w:t>
            </w:r>
          </w:p>
        </w:tc>
        <w:tc>
          <w:tcPr>
            <w:tcW w:type="dxa" w:w="3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AFB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424242"/>
                <w:sz w:val="20"/>
                <w:szCs w:val="20"/>
              </w:rPr>
              <w:t xml:space="preserve">*ViewModel.cs</w:t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424242"/>
                <w:sz w:val="20"/>
                <w:szCs w:val="20"/>
              </w:rPr>
              <w:t xml:space="preserve">Controle XAML reutilizável</w:t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424242"/>
                <w:sz w:val="20"/>
                <w:szCs w:val="20"/>
              </w:rPr>
              <w:t xml:space="preserve">App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424242"/>
                <w:sz w:val="20"/>
                <w:szCs w:val="20"/>
              </w:rPr>
              <w:t xml:space="preserve">Controls/</w:t>
            </w:r>
          </w:p>
        </w:tc>
        <w:tc>
          <w:tcPr>
            <w:tcW w:type="dxa" w:w="3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424242"/>
                <w:sz w:val="20"/>
                <w:szCs w:val="20"/>
              </w:rPr>
              <w:t xml:space="preserve">*Control.xaml</w:t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AFB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424242"/>
                <w:sz w:val="20"/>
                <w:szCs w:val="20"/>
              </w:rPr>
              <w:t xml:space="preserve">Comunicação com o winget</w:t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AFB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424242"/>
                <w:sz w:val="20"/>
                <w:szCs w:val="20"/>
              </w:rPr>
              <w:t xml:space="preserve">Core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AFB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424242"/>
                <w:sz w:val="20"/>
                <w:szCs w:val="20"/>
              </w:rPr>
              <w:t xml:space="preserve">Services/</w:t>
            </w:r>
          </w:p>
        </w:tc>
        <w:tc>
          <w:tcPr>
            <w:tcW w:type="dxa" w:w="3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AFB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424242"/>
                <w:sz w:val="20"/>
                <w:szCs w:val="20"/>
              </w:rPr>
              <w:t xml:space="preserve">WingetService.cs</w:t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424242"/>
                <w:sz w:val="20"/>
                <w:szCs w:val="20"/>
              </w:rPr>
              <w:t xml:space="preserve">Agendamento</w:t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424242"/>
                <w:sz w:val="20"/>
                <w:szCs w:val="20"/>
              </w:rPr>
              <w:t xml:space="preserve">Core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424242"/>
                <w:sz w:val="20"/>
                <w:szCs w:val="20"/>
              </w:rPr>
              <w:t xml:space="preserve">Services/</w:t>
            </w:r>
          </w:p>
        </w:tc>
        <w:tc>
          <w:tcPr>
            <w:tcW w:type="dxa" w:w="3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424242"/>
                <w:sz w:val="20"/>
                <w:szCs w:val="20"/>
              </w:rPr>
              <w:t xml:space="preserve">SchedulerService.cs</w:t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AFB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424242"/>
                <w:sz w:val="20"/>
                <w:szCs w:val="20"/>
              </w:rPr>
              <w:t xml:space="preserve">UAC e elevação de privilégio</w:t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AFB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424242"/>
                <w:sz w:val="20"/>
                <w:szCs w:val="20"/>
              </w:rPr>
              <w:t xml:space="preserve">Core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AFB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424242"/>
                <w:sz w:val="20"/>
                <w:szCs w:val="20"/>
              </w:rPr>
              <w:t xml:space="preserve">Services/</w:t>
            </w:r>
          </w:p>
        </w:tc>
        <w:tc>
          <w:tcPr>
            <w:tcW w:type="dxa" w:w="3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AFB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424242"/>
                <w:sz w:val="20"/>
                <w:szCs w:val="20"/>
              </w:rPr>
              <w:t xml:space="preserve">AdminElevationHelper.cs</w:t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424242"/>
                <w:sz w:val="20"/>
                <w:szCs w:val="20"/>
              </w:rPr>
              <w:t xml:space="preserve">Contratos dos serviços</w:t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424242"/>
                <w:sz w:val="20"/>
                <w:szCs w:val="20"/>
              </w:rPr>
              <w:t xml:space="preserve">Core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424242"/>
                <w:sz w:val="20"/>
                <w:szCs w:val="20"/>
              </w:rPr>
              <w:t xml:space="preserve">Interfaces/</w:t>
            </w:r>
          </w:p>
        </w:tc>
        <w:tc>
          <w:tcPr>
            <w:tcW w:type="dxa" w:w="3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424242"/>
                <w:sz w:val="20"/>
                <w:szCs w:val="20"/>
              </w:rPr>
              <w:t xml:space="preserve">I*Service.cs</w:t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AFB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424242"/>
                <w:sz w:val="20"/>
                <w:szCs w:val="20"/>
              </w:rPr>
              <w:t xml:space="preserve">Tipos de dados imutáveis</w:t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AFB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424242"/>
                <w:sz w:val="20"/>
                <w:szCs w:val="20"/>
              </w:rPr>
              <w:t xml:space="preserve">Core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AFB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424242"/>
                <w:sz w:val="20"/>
                <w:szCs w:val="20"/>
              </w:rPr>
              <w:t xml:space="preserve">Models/</w:t>
            </w:r>
          </w:p>
        </w:tc>
        <w:tc>
          <w:tcPr>
            <w:tcW w:type="dxa" w:w="3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AFB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424242"/>
                <w:sz w:val="20"/>
                <w:szCs w:val="20"/>
              </w:rPr>
              <w:t xml:space="preserve">*record.cs</w:t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424242"/>
                <w:sz w:val="20"/>
                <w:szCs w:val="20"/>
              </w:rPr>
              <w:t xml:space="preserve">Queries no banco</w:t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424242"/>
                <w:sz w:val="20"/>
                <w:szCs w:val="20"/>
              </w:rPr>
              <w:t xml:space="preserve">Data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424242"/>
                <w:sz w:val="20"/>
                <w:szCs w:val="20"/>
              </w:rPr>
              <w:t xml:space="preserve">Repositories/</w:t>
            </w:r>
          </w:p>
        </w:tc>
        <w:tc>
          <w:tcPr>
            <w:tcW w:type="dxa" w:w="3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424242"/>
                <w:sz w:val="20"/>
                <w:szCs w:val="20"/>
              </w:rPr>
              <w:t xml:space="preserve">*Repository.cs</w:t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AFB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424242"/>
                <w:sz w:val="20"/>
                <w:szCs w:val="20"/>
              </w:rPr>
              <w:t xml:space="preserve">Schema do banco</w:t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AFB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424242"/>
                <w:sz w:val="20"/>
                <w:szCs w:val="20"/>
              </w:rPr>
              <w:t xml:space="preserve">Data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AFB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424242"/>
                <w:sz w:val="20"/>
                <w:szCs w:val="20"/>
              </w:rPr>
              <w:t xml:space="preserve">Entities/ + Migrations/</w:t>
            </w:r>
          </w:p>
        </w:tc>
        <w:tc>
          <w:tcPr>
            <w:tcW w:type="dxa" w:w="3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AFB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424242"/>
                <w:sz w:val="20"/>
                <w:szCs w:val="20"/>
              </w:rPr>
              <w:t xml:space="preserve">*Entity.cs</w:t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424242"/>
                <w:sz w:val="20"/>
                <w:szCs w:val="20"/>
              </w:rPr>
              <w:t xml:space="preserve">Testes unitários</w:t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424242"/>
                <w:sz w:val="20"/>
                <w:szCs w:val="20"/>
              </w:rPr>
              <w:t xml:space="preserve">Core.Tests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424242"/>
                <w:sz w:val="20"/>
                <w:szCs w:val="20"/>
              </w:rPr>
              <w:t xml:space="preserve">espelha Core/</w:t>
            </w:r>
          </w:p>
        </w:tc>
        <w:tc>
          <w:tcPr>
            <w:tcW w:type="dxa" w:w="3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424242"/>
                <w:sz w:val="20"/>
                <w:szCs w:val="20"/>
              </w:rPr>
              <w:t xml:space="preserve">*Tests.cs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078D4" w:sz="4" w:space="6"/>
        </w:pBdr>
        <w:spacing w:after="120" w:before="400"/>
      </w:pPr>
      <w:r>
        <w:rPr>
          <w:rFonts w:ascii="Segoe UI" w:cs="Segoe UI" w:eastAsia="Segoe UI" w:hAnsi="Segoe UI"/>
          <w:b/>
          <w:bCs/>
          <w:color w:val="0078D4"/>
          <w:sz w:val="34"/>
          <w:szCs w:val="34"/>
        </w:rPr>
        <w:t xml:space="preserve">4. Estrutura de Pastas do Repositório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078D4" w:sz="1"/>
              <w:left w:val="single" w:color="0078D4" w:sz="1"/>
              <w:bottom w:val="single" w:color="0078D4" w:sz="1"/>
              <w:right w:val="single" w:color="0078D4" w:sz="1"/>
            </w:tcBorders>
            <w:shd w:fill="F3F6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424242"/>
                <w:sz w:val="18"/>
                <w:szCs w:val="18"/>
              </w:rPr>
              <w:t xml:space="preserve">WingetEasy/                              ← raiz da solution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424242"/>
                <w:sz w:val="18"/>
                <w:szCs w:val="18"/>
              </w:rPr>
              <w:t xml:space="preserve">├── WingetEasy.sln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424242"/>
                <w:sz w:val="18"/>
                <w:szCs w:val="18"/>
              </w:rPr>
              <w:t xml:space="preserve">├── .editorconfig                        ← estilos automáticos para VS e VSCode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424242"/>
                <w:sz w:val="18"/>
                <w:szCs w:val="18"/>
              </w:rPr>
              <w:t xml:space="preserve">├── Directory.Build.props                ← propriedades globais (.NET, nullable)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424242"/>
                <w:sz w:val="18"/>
                <w:szCs w:val="18"/>
              </w:rPr>
              <w:t xml:space="preserve">├── Directory.Packages.props             ← versões centralizadas de NuGet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424242"/>
                <w:sz w:val="18"/>
                <w:szCs w:val="18"/>
              </w:rPr>
              <w:t xml:space="preserve">├── CONTRIBUTING.md                      ← guia para contribuidores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424242"/>
                <w:sz w:val="18"/>
                <w:szCs w:val="18"/>
              </w:rPr>
              <w:t xml:space="preserve">├── README.md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424242"/>
                <w:sz w:val="18"/>
                <w:szCs w:val="18"/>
              </w:rPr>
              <w:t xml:space="preserve">│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424242"/>
                <w:sz w:val="18"/>
                <w:szCs w:val="18"/>
              </w:rPr>
              <w:t xml:space="preserve">├── .github/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424242"/>
                <w:sz w:val="18"/>
                <w:szCs w:val="18"/>
              </w:rPr>
              <w:t xml:space="preserve">│   ├── workflows/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424242"/>
                <w:sz w:val="18"/>
                <w:szCs w:val="18"/>
              </w:rPr>
              <w:t xml:space="preserve">│   │   ├── ci.yml                       ← build + testes em cada PR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424242"/>
                <w:sz w:val="18"/>
                <w:szCs w:val="18"/>
              </w:rPr>
              <w:t xml:space="preserve">│   │   └── release.yml                  ← MSIX assinado + GitHub Release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424242"/>
                <w:sz w:val="18"/>
                <w:szCs w:val="18"/>
              </w:rPr>
              <w:t xml:space="preserve">│   ├── ISSUE_TEMPLATE/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424242"/>
                <w:sz w:val="18"/>
                <w:szCs w:val="18"/>
              </w:rPr>
              <w:t xml:space="preserve">│   │   ├── bug_report.yml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424242"/>
                <w:sz w:val="18"/>
                <w:szCs w:val="18"/>
              </w:rPr>
              <w:t xml:space="preserve">│   │   ├── feature_request.yml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424242"/>
                <w:sz w:val="18"/>
                <w:szCs w:val="18"/>
              </w:rPr>
              <w:t xml:space="preserve">│   │   ├── contribution_question.yml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424242"/>
                <w:sz w:val="18"/>
                <w:szCs w:val="18"/>
              </w:rPr>
              <w:t xml:space="preserve">│   │   └── config.yml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424242"/>
                <w:sz w:val="18"/>
                <w:szCs w:val="18"/>
              </w:rPr>
              <w:t xml:space="preserve">│   ├── pull_request_template.md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424242"/>
                <w:sz w:val="18"/>
                <w:szCs w:val="18"/>
              </w:rPr>
              <w:t xml:space="preserve">│   └── labels.yml                       ← labels documentadas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424242"/>
                <w:sz w:val="18"/>
                <w:szCs w:val="18"/>
              </w:rPr>
              <w:t xml:space="preserve">│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424242"/>
                <w:sz w:val="18"/>
                <w:szCs w:val="18"/>
              </w:rPr>
              <w:t xml:space="preserve">├── src/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424242"/>
                <w:sz w:val="18"/>
                <w:szCs w:val="18"/>
              </w:rPr>
              <w:t xml:space="preserve">│   ├── WingetEasy.App/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424242"/>
                <w:sz w:val="18"/>
                <w:szCs w:val="18"/>
              </w:rPr>
              <w:t xml:space="preserve">│   │   ├── App.xaml / App.xaml.cs       ← DI Container + startup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424242"/>
                <w:sz w:val="18"/>
                <w:szCs w:val="18"/>
              </w:rPr>
              <w:t xml:space="preserve">│   │   ├── MainWindow.xaml/.cs           ← NavigationView + Mica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424242"/>
                <w:sz w:val="18"/>
                <w:szCs w:val="18"/>
              </w:rPr>
              <w:t xml:space="preserve">│   │   ├── Views/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424242"/>
                <w:sz w:val="18"/>
                <w:szCs w:val="18"/>
              </w:rPr>
              <w:t xml:space="preserve">│   │   │   ├── UpdateFlyout.xaml/.cs    ← painel lateral de updates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424242"/>
                <w:sz w:val="18"/>
                <w:szCs w:val="18"/>
              </w:rPr>
              <w:t xml:space="preserve">│   │   │   ├── SettingsPage.xaml/.cs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424242"/>
                <w:sz w:val="18"/>
                <w:szCs w:val="18"/>
              </w:rPr>
              <w:t xml:space="preserve">│   │   │   ├── HistoryPage.xaml/.cs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424242"/>
                <w:sz w:val="18"/>
                <w:szCs w:val="18"/>
              </w:rPr>
              <w:t xml:space="preserve">│   │   │   ├── BackupPage.xaml/.cs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424242"/>
                <w:sz w:val="18"/>
                <w:szCs w:val="18"/>
              </w:rPr>
              <w:t xml:space="preserve">│   │   │   └── ProfilesPage.xaml/.cs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424242"/>
                <w:sz w:val="18"/>
                <w:szCs w:val="18"/>
              </w:rPr>
              <w:t xml:space="preserve">│   │   ├── ViewModels/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424242"/>
                <w:sz w:val="18"/>
                <w:szCs w:val="18"/>
              </w:rPr>
              <w:t xml:space="preserve">│   │   │   ├── UpdatesViewModel.cs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424242"/>
                <w:sz w:val="18"/>
                <w:szCs w:val="18"/>
              </w:rPr>
              <w:t xml:space="preserve">│   │   │   ├── SettingsViewModel.cs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424242"/>
                <w:sz w:val="18"/>
                <w:szCs w:val="18"/>
              </w:rPr>
              <w:t xml:space="preserve">│   │   │   ├── HistoryViewModel.cs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424242"/>
                <w:sz w:val="18"/>
                <w:szCs w:val="18"/>
              </w:rPr>
              <w:t xml:space="preserve">│   │   │   ├── BackupViewModel.cs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424242"/>
                <w:sz w:val="18"/>
                <w:szCs w:val="18"/>
              </w:rPr>
              <w:t xml:space="preserve">│   │   │   └── ProfilesViewModel.cs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424242"/>
                <w:sz w:val="18"/>
                <w:szCs w:val="18"/>
              </w:rPr>
              <w:t xml:space="preserve">│   │   ├── Controls/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424242"/>
                <w:sz w:val="18"/>
                <w:szCs w:val="18"/>
              </w:rPr>
              <w:t xml:space="preserve">│   │   │   └── PackageItemControl.xaml/.cs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424242"/>
                <w:sz w:val="18"/>
                <w:szCs w:val="18"/>
              </w:rPr>
              <w:t xml:space="preserve">│   │   └── Assets/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424242"/>
                <w:sz w:val="18"/>
                <w:szCs w:val="18"/>
              </w:rPr>
              <w:t xml:space="preserve">│   │       └── Icons/  (tray.ico, logo.png)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424242"/>
                <w:sz w:val="18"/>
                <w:szCs w:val="18"/>
              </w:rPr>
              <w:t xml:space="preserve">│   │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424242"/>
                <w:sz w:val="18"/>
                <w:szCs w:val="18"/>
              </w:rPr>
              <w:t xml:space="preserve">│   ├── WingetEasy.Core/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424242"/>
                <w:sz w:val="18"/>
                <w:szCs w:val="18"/>
              </w:rPr>
              <w:t xml:space="preserve">│   │   ├── Interfaces/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424242"/>
                <w:sz w:val="18"/>
                <w:szCs w:val="18"/>
              </w:rPr>
              <w:t xml:space="preserve">│   │   │   ├── IWingetService.cs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424242"/>
                <w:sz w:val="18"/>
                <w:szCs w:val="18"/>
              </w:rPr>
              <w:t xml:space="preserve">│   │   │   ├── IUpdateService.cs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424242"/>
                <w:sz w:val="18"/>
                <w:szCs w:val="18"/>
              </w:rPr>
              <w:t xml:space="preserve">│   │   │   ├── ISchedulerService.cs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424242"/>
                <w:sz w:val="18"/>
                <w:szCs w:val="18"/>
              </w:rPr>
              <w:t xml:space="preserve">│   │   │   ├── INotificationService.cs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424242"/>
                <w:sz w:val="18"/>
                <w:szCs w:val="18"/>
              </w:rPr>
              <w:t xml:space="preserve">│   │   │   ├── ISettingsRepository.cs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424242"/>
                <w:sz w:val="18"/>
                <w:szCs w:val="18"/>
              </w:rPr>
              <w:t xml:space="preserve">│   │   │   ├── IUpdateHistoryRepository.cs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424242"/>
                <w:sz w:val="18"/>
                <w:szCs w:val="18"/>
              </w:rPr>
              <w:t xml:space="preserve">│   │   │   └── IPackageRepository.cs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424242"/>
                <w:sz w:val="18"/>
                <w:szCs w:val="18"/>
              </w:rPr>
              <w:t xml:space="preserve">│   │   ├── Models/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424242"/>
                <w:sz w:val="18"/>
                <w:szCs w:val="18"/>
              </w:rPr>
              <w:t xml:space="preserve">│   │   │   ├── WingetPackage.cs         ← record imutável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424242"/>
                <w:sz w:val="18"/>
                <w:szCs w:val="18"/>
              </w:rPr>
              <w:t xml:space="preserve">│   │   │   ├── UpdateResult.cs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424242"/>
                <w:sz w:val="18"/>
                <w:szCs w:val="18"/>
              </w:rPr>
              <w:t xml:space="preserve">│   │   │   ├── ScheduleConfig.cs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424242"/>
                <w:sz w:val="18"/>
                <w:szCs w:val="18"/>
              </w:rPr>
              <w:t xml:space="preserve">│   │   │   └── BackupSnapshot.cs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424242"/>
                <w:sz w:val="18"/>
                <w:szCs w:val="18"/>
              </w:rPr>
              <w:t xml:space="preserve">│   │   └── Services/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424242"/>
                <w:sz w:val="18"/>
                <w:szCs w:val="18"/>
              </w:rPr>
              <w:t xml:space="preserve">│   │       ├── WingetService.cs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424242"/>
                <w:sz w:val="18"/>
                <w:szCs w:val="18"/>
              </w:rPr>
              <w:t xml:space="preserve">│   │       ├── UpdateService.cs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424242"/>
                <w:sz w:val="18"/>
                <w:szCs w:val="18"/>
              </w:rPr>
              <w:t xml:space="preserve">│   │       ├── SchedulerService.cs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424242"/>
                <w:sz w:val="18"/>
                <w:szCs w:val="18"/>
              </w:rPr>
              <w:t xml:space="preserve">│   │       ├── ToastNotificationService.cs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424242"/>
                <w:sz w:val="18"/>
                <w:szCs w:val="18"/>
              </w:rPr>
              <w:t xml:space="preserve">│   │       ├── AdminElevationHelper.cs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424242"/>
                <w:sz w:val="18"/>
                <w:szCs w:val="18"/>
              </w:rPr>
              <w:t xml:space="preserve">│   │       └── BackupService.cs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424242"/>
                <w:sz w:val="18"/>
                <w:szCs w:val="18"/>
              </w:rPr>
              <w:t xml:space="preserve">│   │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424242"/>
                <w:sz w:val="18"/>
                <w:szCs w:val="18"/>
              </w:rPr>
              <w:t xml:space="preserve">│   └── WingetEasy.Data/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424242"/>
                <w:sz w:val="18"/>
                <w:szCs w:val="18"/>
              </w:rPr>
              <w:t xml:space="preserve">│       ├── AppDbContext.cs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424242"/>
                <w:sz w:val="18"/>
                <w:szCs w:val="18"/>
              </w:rPr>
              <w:t xml:space="preserve">│       ├── Entities/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424242"/>
                <w:sz w:val="18"/>
                <w:szCs w:val="18"/>
              </w:rPr>
              <w:t xml:space="preserve">│       │   ├── PackageEntity.cs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424242"/>
                <w:sz w:val="18"/>
                <w:szCs w:val="18"/>
              </w:rPr>
              <w:t xml:space="preserve">│       │   ├── UpdateHistoryEntity.cs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424242"/>
                <w:sz w:val="18"/>
                <w:szCs w:val="18"/>
              </w:rPr>
              <w:t xml:space="preserve">│       │   ├── SettingEntity.cs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424242"/>
                <w:sz w:val="18"/>
                <w:szCs w:val="18"/>
              </w:rPr>
              <w:t xml:space="preserve">│       │   ├── CheckLogEntity.cs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424242"/>
                <w:sz w:val="18"/>
                <w:szCs w:val="18"/>
              </w:rPr>
              <w:t xml:space="preserve">│       │   ├── ProfileEntity.cs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424242"/>
                <w:sz w:val="18"/>
                <w:szCs w:val="18"/>
              </w:rPr>
              <w:t xml:space="preserve">│       │   └── BackupSnapshotEntity.cs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424242"/>
                <w:sz w:val="18"/>
                <w:szCs w:val="18"/>
              </w:rPr>
              <w:t xml:space="preserve">│       ├── Repositories/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424242"/>
                <w:sz w:val="18"/>
                <w:szCs w:val="18"/>
              </w:rPr>
              <w:t xml:space="preserve">│       │   ├── SettingsRepository.cs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424242"/>
                <w:sz w:val="18"/>
                <w:szCs w:val="18"/>
              </w:rPr>
              <w:t xml:space="preserve">│       │   ├── UpdateHistoryRepository.cs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424242"/>
                <w:sz w:val="18"/>
                <w:szCs w:val="18"/>
              </w:rPr>
              <w:t xml:space="preserve">│       │   └── PackageRepository.cs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424242"/>
                <w:sz w:val="18"/>
                <w:szCs w:val="18"/>
              </w:rPr>
              <w:t xml:space="preserve">│       └── Migrations/          ← geradas pelo EF Core, não editar manualmente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424242"/>
                <w:sz w:val="18"/>
                <w:szCs w:val="18"/>
              </w:rPr>
              <w:t xml:space="preserve">│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424242"/>
                <w:sz w:val="18"/>
                <w:szCs w:val="18"/>
              </w:rPr>
              <w:t xml:space="preserve">└── tests/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424242"/>
                <w:sz w:val="18"/>
                <w:szCs w:val="18"/>
              </w:rPr>
              <w:t xml:space="preserve">    └── WingetEasy.Core.Tests/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424242"/>
                <w:sz w:val="18"/>
                <w:szCs w:val="18"/>
              </w:rPr>
              <w:t xml:space="preserve">        ├── WingetServiceTests.cs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424242"/>
                <w:sz w:val="18"/>
                <w:szCs w:val="18"/>
              </w:rPr>
              <w:t xml:space="preserve">        ├── UpdateServiceTests.cs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424242"/>
                <w:sz w:val="18"/>
                <w:szCs w:val="18"/>
              </w:rPr>
              <w:t xml:space="preserve">        ├── SchedulerServiceTests.cs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424242"/>
                <w:sz w:val="18"/>
                <w:szCs w:val="18"/>
              </w:rPr>
              <w:t xml:space="preserve">        ├── RepositoryTests.cs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424242"/>
                <w:sz w:val="18"/>
                <w:szCs w:val="18"/>
              </w:rPr>
              <w:t xml:space="preserve">        └── TestData/            ← fixtures JSON do winget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078D4" w:sz="4" w:space="6"/>
        </w:pBdr>
        <w:spacing w:after="120" w:before="400"/>
      </w:pPr>
      <w:r>
        <w:rPr>
          <w:rFonts w:ascii="Segoe UI" w:cs="Segoe UI" w:eastAsia="Segoe UI" w:hAnsi="Segoe UI"/>
          <w:b/>
          <w:bCs/>
          <w:color w:val="0078D4"/>
          <w:sz w:val="34"/>
          <w:szCs w:val="34"/>
        </w:rPr>
        <w:t xml:space="preserve">5. Convenções de Código e Boas Práticas</w:t>
      </w:r>
    </w:p>
    <w:p>
      <w:pPr>
        <w:spacing w:after="60" w:before="40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B1B1B"/>
          <w:sz w:val="22"/>
          <w:szCs w:val="22"/>
        </w:rPr>
        <w:t xml:space="preserve">Todas as regras desta seção são aplicadas automaticamente pelo .editorconfig e pelos Roslyn Analyzers. PRs que violam qualquer uma dessas regras são rejeitados antes da revisão humana.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60"/>
      </w:pPr>
      <w:r>
        <w:rPr>
          <w:rFonts w:ascii="Segoe UI" w:cs="Segoe UI" w:eastAsia="Segoe UI" w:hAnsi="Segoe UI"/>
          <w:b/>
          <w:bCs/>
          <w:color w:val="1A1A2E"/>
          <w:sz w:val="27"/>
          <w:szCs w:val="27"/>
        </w:rPr>
        <w:t xml:space="preserve">5.1 Nomenclatura — Arquivo revela seu conteúdo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560"/>
        <w:gridCol w:w="3000"/>
      </w:tblGrid>
      <w:tr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3F6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1A1A2E"/>
                <w:sz w:val="21"/>
                <w:szCs w:val="21"/>
              </w:rPr>
              <w:t xml:space="preserve">Tipo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3F6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1A1A2E"/>
                <w:sz w:val="21"/>
                <w:szCs w:val="21"/>
              </w:rPr>
              <w:t xml:space="preserve">Convenção</w:t>
            </w:r>
          </w:p>
        </w:tc>
        <w:tc>
          <w:tcPr>
            <w:tcW w:type="dxa" w:w="2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3F6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1A1A2E"/>
                <w:sz w:val="21"/>
                <w:szCs w:val="21"/>
              </w:rPr>
              <w:t xml:space="preserve">Exemplo correto</w:t>
            </w:r>
          </w:p>
        </w:tc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3F6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1A1A2E"/>
                <w:sz w:val="21"/>
                <w:szCs w:val="21"/>
              </w:rPr>
              <w:t xml:space="preserve">Exemplo errado</w:t>
            </w:r>
          </w:p>
        </w:tc>
      </w:tr>
      <w:tr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424242"/>
                <w:sz w:val="20"/>
                <w:szCs w:val="20"/>
              </w:rPr>
              <w:t xml:space="preserve">Interface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424242"/>
                <w:sz w:val="20"/>
                <w:szCs w:val="20"/>
              </w:rPr>
              <w:t xml:space="preserve">Prefixo I</w:t>
            </w:r>
          </w:p>
        </w:tc>
        <w:tc>
          <w:tcPr>
            <w:tcW w:type="dxa" w:w="2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424242"/>
                <w:sz w:val="20"/>
                <w:szCs w:val="20"/>
              </w:rPr>
              <w:t xml:space="preserve">IWingetService</w:t>
            </w:r>
          </w:p>
        </w:tc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424242"/>
                <w:sz w:val="20"/>
                <w:szCs w:val="20"/>
              </w:rPr>
              <w:t xml:space="preserve">WingetServiceInterface</w:t>
            </w:r>
          </w:p>
        </w:tc>
      </w:tr>
      <w:tr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AFB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424242"/>
                <w:sz w:val="20"/>
                <w:szCs w:val="20"/>
              </w:rPr>
              <w:t xml:space="preserve">ViewModel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AFB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424242"/>
                <w:sz w:val="20"/>
                <w:szCs w:val="20"/>
              </w:rPr>
              <w:t xml:space="preserve">Sufixo ViewModel</w:t>
            </w:r>
          </w:p>
        </w:tc>
        <w:tc>
          <w:tcPr>
            <w:tcW w:type="dxa" w:w="2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AFB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424242"/>
                <w:sz w:val="20"/>
                <w:szCs w:val="20"/>
              </w:rPr>
              <w:t xml:space="preserve">UpdatesViewModel</w:t>
            </w:r>
          </w:p>
        </w:tc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AFB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424242"/>
                <w:sz w:val="20"/>
                <w:szCs w:val="20"/>
              </w:rPr>
              <w:t xml:space="preserve">UpdatesVM / UpdatesLogic</w:t>
            </w:r>
          </w:p>
        </w:tc>
      </w:tr>
      <w:tr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424242"/>
                <w:sz w:val="20"/>
                <w:szCs w:val="20"/>
              </w:rPr>
              <w:t xml:space="preserve">Página WinUI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424242"/>
                <w:sz w:val="20"/>
                <w:szCs w:val="20"/>
              </w:rPr>
              <w:t xml:space="preserve">Sufixo Page</w:t>
            </w:r>
          </w:p>
        </w:tc>
        <w:tc>
          <w:tcPr>
            <w:tcW w:type="dxa" w:w="2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424242"/>
                <w:sz w:val="20"/>
                <w:szCs w:val="20"/>
              </w:rPr>
              <w:t xml:space="preserve">SettingsPage</w:t>
            </w:r>
          </w:p>
        </w:tc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424242"/>
                <w:sz w:val="20"/>
                <w:szCs w:val="20"/>
              </w:rPr>
              <w:t xml:space="preserve">SettingsScreen</w:t>
            </w:r>
          </w:p>
        </w:tc>
      </w:tr>
      <w:tr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AFB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424242"/>
                <w:sz w:val="20"/>
                <w:szCs w:val="20"/>
              </w:rPr>
              <w:t xml:space="preserve">Janela WinUI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AFB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424242"/>
                <w:sz w:val="20"/>
                <w:szCs w:val="20"/>
              </w:rPr>
              <w:t xml:space="preserve">Sufixo Window ou Flyout</w:t>
            </w:r>
          </w:p>
        </w:tc>
        <w:tc>
          <w:tcPr>
            <w:tcW w:type="dxa" w:w="2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AFB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424242"/>
                <w:sz w:val="20"/>
                <w:szCs w:val="20"/>
              </w:rPr>
              <w:t xml:space="preserve">UpdateFlyout</w:t>
            </w:r>
          </w:p>
        </w:tc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AFB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424242"/>
                <w:sz w:val="20"/>
                <w:szCs w:val="20"/>
              </w:rPr>
              <w:t xml:space="preserve">UpdatePanel</w:t>
            </w:r>
          </w:p>
        </w:tc>
      </w:tr>
      <w:tr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424242"/>
                <w:sz w:val="20"/>
                <w:szCs w:val="20"/>
              </w:rPr>
              <w:t xml:space="preserve">Repositório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424242"/>
                <w:sz w:val="20"/>
                <w:szCs w:val="20"/>
              </w:rPr>
              <w:t xml:space="preserve">Sufixo Repository</w:t>
            </w:r>
          </w:p>
        </w:tc>
        <w:tc>
          <w:tcPr>
            <w:tcW w:type="dxa" w:w="2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424242"/>
                <w:sz w:val="20"/>
                <w:szCs w:val="20"/>
              </w:rPr>
              <w:t xml:space="preserve">UpdateHistoryRepository</w:t>
            </w:r>
          </w:p>
        </w:tc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424242"/>
                <w:sz w:val="20"/>
                <w:szCs w:val="20"/>
              </w:rPr>
              <w:t xml:space="preserve">UpdateHistoryRepo</w:t>
            </w:r>
          </w:p>
        </w:tc>
      </w:tr>
      <w:tr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AFB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424242"/>
                <w:sz w:val="20"/>
                <w:szCs w:val="20"/>
              </w:rPr>
              <w:t xml:space="preserve">Teste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AFB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424242"/>
                <w:sz w:val="20"/>
                <w:szCs w:val="20"/>
              </w:rPr>
              <w:t xml:space="preserve">Sufixo Tests, espelha a classe</w:t>
            </w:r>
          </w:p>
        </w:tc>
        <w:tc>
          <w:tcPr>
            <w:tcW w:type="dxa" w:w="2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AFB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424242"/>
                <w:sz w:val="20"/>
                <w:szCs w:val="20"/>
              </w:rPr>
              <w:t xml:space="preserve">WingetServiceTests</w:t>
            </w:r>
          </w:p>
        </w:tc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AFB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424242"/>
                <w:sz w:val="20"/>
                <w:szCs w:val="20"/>
              </w:rPr>
              <w:t xml:space="preserve">WingetTests</w:t>
            </w:r>
          </w:p>
        </w:tc>
      </w:tr>
      <w:tr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424242"/>
                <w:sz w:val="20"/>
                <w:szCs w:val="20"/>
              </w:rPr>
              <w:t xml:space="preserve">Campo privado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424242"/>
                <w:sz w:val="20"/>
                <w:szCs w:val="20"/>
              </w:rPr>
              <w:t xml:space="preserve">Prefixo _ camelCase</w:t>
            </w:r>
          </w:p>
        </w:tc>
        <w:tc>
          <w:tcPr>
            <w:tcW w:type="dxa" w:w="2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424242"/>
                <w:sz w:val="20"/>
                <w:szCs w:val="20"/>
              </w:rPr>
              <w:t xml:space="preserve">_wingetService</w:t>
            </w:r>
          </w:p>
        </w:tc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424242"/>
                <w:sz w:val="20"/>
                <w:szCs w:val="20"/>
              </w:rPr>
              <w:t xml:space="preserve">wingetService / mWinget</w:t>
            </w:r>
          </w:p>
        </w:tc>
      </w:tr>
      <w:tr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AFB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424242"/>
                <w:sz w:val="20"/>
                <w:szCs w:val="20"/>
              </w:rPr>
              <w:t xml:space="preserve">Record imutável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AFB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424242"/>
                <w:sz w:val="20"/>
                <w:szCs w:val="20"/>
              </w:rPr>
              <w:t xml:space="preserve">PascalCase simples</w:t>
            </w:r>
          </w:p>
        </w:tc>
        <w:tc>
          <w:tcPr>
            <w:tcW w:type="dxa" w:w="2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AFB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424242"/>
                <w:sz w:val="20"/>
                <w:szCs w:val="20"/>
              </w:rPr>
              <w:t xml:space="preserve">WingetPackage</w:t>
            </w:r>
          </w:p>
        </w:tc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AFB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424242"/>
                <w:sz w:val="20"/>
                <w:szCs w:val="20"/>
              </w:rPr>
              <w:t xml:space="preserve">PackageModel / PackageDTO</w:t>
            </w:r>
          </w:p>
        </w:tc>
      </w:tr>
      <w:tr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424242"/>
                <w:sz w:val="20"/>
                <w:szCs w:val="20"/>
              </w:rPr>
              <w:t xml:space="preserve">Enum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424242"/>
                <w:sz w:val="20"/>
                <w:szCs w:val="20"/>
              </w:rPr>
              <w:t xml:space="preserve">PascalCase</w:t>
            </w:r>
          </w:p>
        </w:tc>
        <w:tc>
          <w:tcPr>
            <w:tcW w:type="dxa" w:w="2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424242"/>
                <w:sz w:val="20"/>
                <w:szCs w:val="20"/>
              </w:rPr>
              <w:t xml:space="preserve">PackageCategory</w:t>
            </w:r>
          </w:p>
        </w:tc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424242"/>
                <w:sz w:val="20"/>
                <w:szCs w:val="20"/>
              </w:rPr>
              <w:t xml:space="preserve">package_category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80" w:before="260"/>
      </w:pPr>
      <w:r>
        <w:rPr>
          <w:rFonts w:ascii="Segoe UI" w:cs="Segoe UI" w:eastAsia="Segoe UI" w:hAnsi="Segoe UI"/>
          <w:b/>
          <w:bCs/>
          <w:color w:val="1A1A2E"/>
          <w:sz w:val="27"/>
          <w:szCs w:val="27"/>
        </w:rPr>
        <w:t xml:space="preserve">5.2 Async/Await — Regras que nunca quebram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078D4" w:sz="1"/>
              <w:left w:val="single" w:color="0078D4" w:sz="1"/>
              <w:bottom w:val="single" w:color="0078D4" w:sz="1"/>
              <w:right w:val="single" w:color="0078D4" w:sz="1"/>
            </w:tcBorders>
            <w:shd w:fill="1E1E1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✅ CORRETO — async Task com CancellationToken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public async Task&lt;UpdateResult&gt; InstallUpdateAsync(string id, CancellationToken ct = default)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// usa await — nunca bloqueia a thread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✅ CORRETO — async void APENAS em event handlers de UI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private async void UpdateButton_Click(object sender, RoutedEventArgs 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await _viewModel.UpdateSelectedAsync();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❌ NUNCA — async void em método de serviço (engole exceptions)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public async void CheckUpdates() {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❌ NUNCA — .Result bloqueia a thread e causa deadlock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var result = _service.CheckUpdatesAsync().Result;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❌ NUNCA — Task não aguardada (bug silencioso — CS4014 = error no editorconfig)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_ = _service.CheckUpdatesAsync(); // sem await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80" w:before="260"/>
      </w:pPr>
      <w:r>
        <w:rPr>
          <w:rFonts w:ascii="Segoe UI" w:cs="Segoe UI" w:eastAsia="Segoe UI" w:hAnsi="Segoe UI"/>
          <w:b/>
          <w:bCs/>
          <w:color w:val="1A1A2E"/>
          <w:sz w:val="27"/>
          <w:szCs w:val="27"/>
        </w:rPr>
        <w:t xml:space="preserve">5.3 XML Documentation — Obrigatório em membros públicos</w:t>
      </w:r>
    </w:p>
    <w:p>
      <w:pPr>
        <w:spacing w:after="60" w:before="40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B1B1B"/>
          <w:sz w:val="22"/>
          <w:szCs w:val="22"/>
        </w:rPr>
        <w:t xml:space="preserve">Todo método, propriedade e interface pública precisa de XML doc. O Visual Studio gera a estrutura ao digitar /// na linha anterior. O IntelliSense de qualquer contribuidor mostrará o contrato do método sem precisar abrir a implementação.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078D4" w:sz="1"/>
              <w:left w:val="single" w:color="0078D4" w:sz="1"/>
              <w:bottom w:val="single" w:color="0078D4" w:sz="1"/>
              <w:right w:val="single" w:color="0078D4" w:sz="1"/>
            </w:tcBorders>
            <w:shd w:fill="1E1E1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/// &lt;summary&gt;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/// Verifica se há pacotes com atualização disponível via Winget CLI.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/// Resultado é cacheado por 30 minutos — chamadas repetidas não executam subprocess.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/// &lt;/summary&gt;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/// &lt;param name="ct"&gt;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/// Token de cancelamento. Timeout interno de 5 minutos já aplicado.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/// Passar CancellationToken.None para rodar sem timeout externo.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/// &lt;/param&gt;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/// &lt;returns&gt;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/// Lista vazia (não null) se não há atualizações disponíveis ou se o winget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/// não está instalado. Nunca lança exception por ausência do winget.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/// &lt;/returns&gt;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Task&lt;IEnumerable&lt;WingetPackage&gt;&gt; CheckUpdatesAsync(CancellationToken ct = default);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80" w:before="260"/>
      </w:pPr>
      <w:r>
        <w:rPr>
          <w:rFonts w:ascii="Segoe UI" w:cs="Segoe UI" w:eastAsia="Segoe UI" w:hAnsi="Segoe UI"/>
          <w:b/>
          <w:bCs/>
          <w:color w:val="1A1A2E"/>
          <w:sz w:val="27"/>
          <w:szCs w:val="27"/>
        </w:rPr>
        <w:t xml:space="preserve">5.4 Injeção de Dependência — Sempre via construtor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078D4" w:sz="1"/>
              <w:left w:val="single" w:color="0078D4" w:sz="1"/>
              <w:bottom w:val="single" w:color="0078D4" w:sz="1"/>
              <w:right w:val="single" w:color="0078D4" w:sz="1"/>
            </w:tcBorders>
            <w:shd w:fill="1E1E1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✅ CORRETO — recebe a interface, nunca a implementação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public sealed class UpdatesViewModel : ObservableObject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private readonly IWingetService _winget;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private readonly IUpdateService _updater;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public UpdatesViewModel(IWingetService winget, IUpdateService updater)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_winget  = winget;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_updater = updater;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❌ NUNCA — instanciar serviço diretamente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private readonly WingetService _winget = new WingetService(); // quebre isso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❌ NUNCA — acessar banco direto fora de repositório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public class WingetService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private readonly AppDbContext _db; // errado — use IPackageRepository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80" w:before="260"/>
      </w:pPr>
      <w:r>
        <w:rPr>
          <w:rFonts w:ascii="Segoe UI" w:cs="Segoe UI" w:eastAsia="Segoe UI" w:hAnsi="Segoe UI"/>
          <w:b/>
          <w:bCs/>
          <w:color w:val="1A1A2E"/>
          <w:sz w:val="27"/>
          <w:szCs w:val="27"/>
        </w:rPr>
        <w:t xml:space="preserve">5.5 Strings de UI — Sempre em Resources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078D4" w:sz="1"/>
              <w:left w:val="single" w:color="0078D4" w:sz="1"/>
              <w:bottom w:val="single" w:color="0078D4" w:sz="1"/>
              <w:right w:val="single" w:color="0078D4" w:sz="1"/>
            </w:tcBorders>
            <w:shd w:fill="1E1E1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❌ ERRADO — string hardcoded no código C#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StatusMessage = "Verificando atualizações...";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Title = "WingetEasy — Atualizações disponíveis";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✅ CORRETO — usar arquivo Strings/pt-BR/Resources.resw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StatusMessage = ResourceLoader.GetForCurrentView().GetString("CheckingUpdates");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Arquivo Resources.resw (XML):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&lt;data name="CheckingUpdates"&gt;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  &lt;value&gt;Verificando atualizações...&lt;/value&gt;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&lt;/data&gt;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078D4" w:sz="4" w:space="6"/>
        </w:pBdr>
        <w:spacing w:after="120" w:before="400"/>
      </w:pPr>
      <w:r>
        <w:rPr>
          <w:rFonts w:ascii="Segoe UI" w:cs="Segoe UI" w:eastAsia="Segoe UI" w:hAnsi="Segoe UI"/>
          <w:b/>
          <w:bCs/>
          <w:color w:val="0078D4"/>
          <w:sz w:val="34"/>
          <w:szCs w:val="34"/>
        </w:rPr>
        <w:t xml:space="preserve">6. Developer Experience — Open Source Pronto para Contribuidores</w:t>
      </w:r>
    </w:p>
    <w:p>
      <w:pPr>
        <w:spacing w:after="60" w:before="40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B1B1B"/>
          <w:sz w:val="22"/>
          <w:szCs w:val="22"/>
        </w:rPr>
        <w:t xml:space="preserve">Esta seção documenta todos os arquivos e práticas que tornam o WingetEasy acessível para qualquer contribuidor. O objetivo: alguém lê uma issue e consegue implementar sem precisar analisar o projeto inteiro ou perguntar nada.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60"/>
      </w:pPr>
      <w:r>
        <w:rPr>
          <w:rFonts w:ascii="Segoe UI" w:cs="Segoe UI" w:eastAsia="Segoe UI" w:hAnsi="Segoe UI"/>
          <w:b/>
          <w:bCs/>
          <w:color w:val="1A1A2E"/>
          <w:sz w:val="27"/>
          <w:szCs w:val="27"/>
        </w:rPr>
        <w:t xml:space="preserve">6.1 Arquivos do Repositório (.github/)</w:t>
      </w:r>
    </w:p>
    <w:p>
      <w:pPr>
        <w:spacing w:after="60" w:before="40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B1B1B"/>
          <w:sz w:val="22"/>
          <w:szCs w:val="22"/>
        </w:rPr>
        <w:t xml:space="preserve">Todos os arquivos abaixo existem no repositório e são ativados automaticamente pelo GitHub.</w:t>
      </w:r>
    </w:p>
    <w:p>
      <w:pPr>
        <w:spacing w:after="0" w:before="60"/>
      </w:pPr>
      <w:r>
        <w:t xml:space="preserve"/>
      </w:r>
    </w:p>
    <w:p>
      <w:pPr>
        <w:pStyle w:val="Heading3"/>
        <w:spacing w:after="60" w:before="200"/>
      </w:pPr>
      <w:r>
        <w:rPr>
          <w:rFonts w:ascii="Segoe UI" w:cs="Segoe UI" w:eastAsia="Segoe UI" w:hAnsi="Segoe UI"/>
          <w:b/>
          <w:bCs/>
          <w:color w:val="1B1B1B"/>
          <w:sz w:val="23"/>
          <w:szCs w:val="23"/>
        </w:rPr>
        <w:t xml:space="preserve">CONTRIBUTING.md — Manual de bordo</w:t>
      </w:r>
    </w:p>
    <w:p>
      <w:pPr>
        <w:spacing w:after="60" w:before="40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B1B1B"/>
          <w:sz w:val="22"/>
          <w:szCs w:val="22"/>
        </w:rPr>
        <w:t xml:space="preserve">Responde às 4 perguntas críticas de qualquer contribuidor novo em menos de 5 minutos de leitura: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Segoe UI" w:cs="Segoe UI" w:eastAsia="Segoe UI" w:hAnsi="Segoe UI"/>
          <w:color w:val="1B1B1B"/>
          <w:sz w:val="21"/>
          <w:szCs w:val="21"/>
        </w:rPr>
        <w:t xml:space="preserve">Como rodar o projeto localmente — passo a passo literal, do clone ao F5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Segoe UI" w:cs="Segoe UI" w:eastAsia="Segoe UI" w:hAnsi="Segoe UI"/>
          <w:color w:val="1B1B1B"/>
          <w:sz w:val="21"/>
          <w:szCs w:val="21"/>
        </w:rPr>
        <w:t xml:space="preserve">Como encontrar o que trabalhar — label good first issue, como ler uma issue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Segoe UI" w:cs="Segoe UI" w:eastAsia="Segoe UI" w:hAnsi="Segoe UI"/>
          <w:color w:val="1B1B1B"/>
          <w:sz w:val="21"/>
          <w:szCs w:val="21"/>
        </w:rPr>
        <w:t xml:space="preserve">Como abrir um PR — convenção de branch, mensagem de commit, checklist obrigatório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Segoe UI" w:cs="Segoe UI" w:eastAsia="Segoe UI" w:hAnsi="Segoe UI"/>
          <w:color w:val="1B1B1B"/>
          <w:sz w:val="21"/>
          <w:szCs w:val="21"/>
        </w:rPr>
        <w:t xml:space="preserve">O que bloqueia um PR — lista exata do que será rejeitado e por quê</w:t>
      </w:r>
    </w:p>
    <w:p>
      <w:pPr>
        <w:spacing w:after="0" w:before="60"/>
      </w:pPr>
      <w:r>
        <w:t xml:space="preserve"/>
      </w:r>
    </w:p>
    <w:p>
      <w:pPr>
        <w:pStyle w:val="Heading3"/>
        <w:spacing w:after="60" w:before="200"/>
      </w:pPr>
      <w:r>
        <w:rPr>
          <w:rFonts w:ascii="Segoe UI" w:cs="Segoe UI" w:eastAsia="Segoe UI" w:hAnsi="Segoe UI"/>
          <w:b/>
          <w:bCs/>
          <w:color w:val="1B1B1B"/>
          <w:sz w:val="23"/>
          <w:szCs w:val="23"/>
        </w:rPr>
        <w:t xml:space="preserve">pull_request_template.md — Estrutura garantida em todo PR</w:t>
      </w:r>
    </w:p>
    <w:p>
      <w:pPr>
        <w:spacing w:after="60" w:before="40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B1B1B"/>
          <w:sz w:val="22"/>
          <w:szCs w:val="22"/>
        </w:rPr>
        <w:t xml:space="preserve">Quando alguém abre um PR, o formulário já vem preenchido com: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Segoe UI" w:cs="Segoe UI" w:eastAsia="Segoe UI" w:hAnsi="Segoe UI"/>
          <w:color w:val="1B1B1B"/>
          <w:sz w:val="21"/>
          <w:szCs w:val="21"/>
        </w:rPr>
        <w:t xml:space="preserve">Campo O que esse PR faz — obriga a descrever o que foi implementado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Segoe UI" w:cs="Segoe UI" w:eastAsia="Segoe UI" w:hAnsi="Segoe UI"/>
          <w:color w:val="1B1B1B"/>
          <w:sz w:val="21"/>
          <w:szCs w:val="21"/>
        </w:rPr>
        <w:t xml:space="preserve">Campo Issue relacionada — garante que todo PR referencia Closes #N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Segoe UI" w:cs="Segoe UI" w:eastAsia="Segoe UI" w:hAnsi="Segoe UI"/>
          <w:color w:val="1B1B1B"/>
          <w:sz w:val="21"/>
          <w:szCs w:val="21"/>
        </w:rPr>
        <w:t xml:space="preserve">Campo Como testar — passos exatos para o revisor validar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Segoe UI" w:cs="Segoe UI" w:eastAsia="Segoe UI" w:hAnsi="Segoe UI"/>
          <w:color w:val="1B1B1B"/>
          <w:sz w:val="21"/>
          <w:szCs w:val="21"/>
        </w:rPr>
        <w:t xml:space="preserve">Checklist obrigatório — async/await, arquitetura, XML docs, resources, banco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Segoe UI" w:cs="Segoe UI" w:eastAsia="Segoe UI" w:hAnsi="Segoe UI"/>
          <w:color w:val="1B1B1B"/>
          <w:sz w:val="21"/>
          <w:szCs w:val="21"/>
        </w:rPr>
        <w:t xml:space="preserve">Campo Screenshots — obrigatório para PRs com mudança visual</w:t>
      </w:r>
    </w:p>
    <w:p>
      <w:pPr>
        <w:spacing w:after="0" w:before="60"/>
      </w:pPr>
      <w:r>
        <w:t xml:space="preserve"/>
      </w:r>
    </w:p>
    <w:p>
      <w:pPr>
        <w:pStyle w:val="Heading3"/>
        <w:spacing w:after="60" w:before="200"/>
      </w:pPr>
      <w:r>
        <w:rPr>
          <w:rFonts w:ascii="Segoe UI" w:cs="Segoe UI" w:eastAsia="Segoe UI" w:hAnsi="Segoe UI"/>
          <w:b/>
          <w:bCs/>
          <w:color w:val="1B1B1B"/>
          <w:sz w:val="23"/>
          <w:szCs w:val="23"/>
        </w:rPr>
        <w:t xml:space="preserve">ISSUE_TEMPLATE/ — Formulários por tipo de issue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00"/>
        <w:gridCol w:w="3560"/>
        <w:gridCol w:w="1800"/>
      </w:tblGrid>
      <w:tr>
        <w:tc>
          <w:tcPr>
            <w:tcW w:type="dxa" w:w="2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3F6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1A1A2E"/>
                <w:sz w:val="21"/>
                <w:szCs w:val="21"/>
              </w:rPr>
              <w:t xml:space="preserve">Arquivo</w:t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3F6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1A1A2E"/>
                <w:sz w:val="21"/>
                <w:szCs w:val="21"/>
              </w:rPr>
              <w:t xml:space="preserve">Tipo</w:t>
            </w:r>
          </w:p>
        </w:tc>
        <w:tc>
          <w:tcPr>
            <w:tcW w:type="dxa" w:w="3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3F6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1A1A2E"/>
                <w:sz w:val="21"/>
                <w:szCs w:val="21"/>
              </w:rPr>
              <w:t xml:space="preserve">Para que serve</w:t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3F6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1A1A2E"/>
                <w:sz w:val="21"/>
                <w:szCs w:val="21"/>
              </w:rPr>
              <w:t xml:space="preserve">Labels automáticas</w:t>
            </w:r>
          </w:p>
        </w:tc>
      </w:tr>
      <w:tr>
        <w:tc>
          <w:tcPr>
            <w:tcW w:type="dxa" w:w="2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424242"/>
                <w:sz w:val="20"/>
                <w:szCs w:val="20"/>
              </w:rPr>
              <w:t xml:space="preserve">bug_report.yml</w:t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424242"/>
                <w:sz w:val="20"/>
                <w:szCs w:val="20"/>
              </w:rPr>
              <w:t xml:space="preserve">Bug</w:t>
            </w:r>
          </w:p>
        </w:tc>
        <w:tc>
          <w:tcPr>
            <w:tcW w:type="dxa" w:w="3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424242"/>
                <w:sz w:val="20"/>
                <w:szCs w:val="20"/>
              </w:rPr>
              <w:t xml:space="preserve">Versão, OS, passos para reproduzir, log de erro</w:t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424242"/>
                <w:sz w:val="20"/>
                <w:szCs w:val="20"/>
              </w:rPr>
              <w:t xml:space="preserve">bug, needs-triage</w:t>
            </w:r>
          </w:p>
        </w:tc>
      </w:tr>
      <w:tr>
        <w:tc>
          <w:tcPr>
            <w:tcW w:type="dxa" w:w="2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AFB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424242"/>
                <w:sz w:val="20"/>
                <w:szCs w:val="20"/>
              </w:rPr>
              <w:t xml:space="preserve">feature_request.yml</w:t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AFB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424242"/>
                <w:sz w:val="20"/>
                <w:szCs w:val="20"/>
              </w:rPr>
              <w:t xml:space="preserve">Feature</w:t>
            </w:r>
          </w:p>
        </w:tc>
        <w:tc>
          <w:tcPr>
            <w:tcW w:type="dxa" w:w="3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AFB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424242"/>
                <w:sz w:val="20"/>
                <w:szCs w:val="20"/>
              </w:rPr>
              <w:t xml:space="preserve">Problema que resolve, como imagina que funciona</w:t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AFB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424242"/>
                <w:sz w:val="20"/>
                <w:szCs w:val="20"/>
              </w:rPr>
              <w:t xml:space="preserve">enhancement, needs-triage</w:t>
            </w:r>
          </w:p>
        </w:tc>
      </w:tr>
      <w:tr>
        <w:tc>
          <w:tcPr>
            <w:tcW w:type="dxa" w:w="2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424242"/>
                <w:sz w:val="20"/>
                <w:szCs w:val="20"/>
              </w:rPr>
              <w:t xml:space="preserve">contribution_question.yml</w:t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424242"/>
                <w:sz w:val="20"/>
                <w:szCs w:val="20"/>
              </w:rPr>
              <w:t xml:space="preserve">Dúvida técnica</w:t>
            </w:r>
          </w:p>
        </w:tc>
        <w:tc>
          <w:tcPr>
            <w:tcW w:type="dxa" w:w="3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424242"/>
                <w:sz w:val="20"/>
                <w:szCs w:val="20"/>
              </w:rPr>
              <w:t xml:space="preserve">Em qual issue está, o que tentou</w:t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424242"/>
                <w:sz w:val="20"/>
                <w:szCs w:val="20"/>
              </w:rPr>
              <w:t xml:space="preserve">question</w:t>
            </w:r>
          </w:p>
        </w:tc>
      </w:tr>
      <w:tr>
        <w:tc>
          <w:tcPr>
            <w:tcW w:type="dxa" w:w="2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AFB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424242"/>
                <w:sz w:val="20"/>
                <w:szCs w:val="20"/>
              </w:rPr>
              <w:t xml:space="preserve">config.yml</w:t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AFB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424242"/>
                <w:sz w:val="20"/>
                <w:szCs w:val="20"/>
              </w:rPr>
              <w:t xml:space="preserve">Config</w:t>
            </w:r>
          </w:p>
        </w:tc>
        <w:tc>
          <w:tcPr>
            <w:tcW w:type="dxa" w:w="3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AFB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424242"/>
                <w:sz w:val="20"/>
                <w:szCs w:val="20"/>
              </w:rPr>
              <w:t xml:space="preserve">Desabilita issues em branco, redireciona para Discussions</w:t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AFB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424242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3"/>
        <w:spacing w:after="60" w:before="200"/>
      </w:pPr>
      <w:r>
        <w:rPr>
          <w:rFonts w:ascii="Segoe UI" w:cs="Segoe UI" w:eastAsia="Segoe UI" w:hAnsi="Segoe UI"/>
          <w:b/>
          <w:bCs/>
          <w:color w:val="1B1B1B"/>
          <w:sz w:val="23"/>
          <w:szCs w:val="23"/>
        </w:rPr>
        <w:t xml:space="preserve">labels.yml — Sistema de labels documentado</w:t>
      </w:r>
    </w:p>
    <w:p>
      <w:pPr>
        <w:spacing w:after="60" w:before="40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B1B1B"/>
          <w:sz w:val="22"/>
          <w:szCs w:val="22"/>
        </w:rPr>
        <w:t xml:space="preserve">Todas as labels são documentadas em .github/labels.yml com nome, cor e descrição. Podem ser criadas automaticamente via GitHub CLI com um único comando: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078D4" w:sz="1"/>
              <w:left w:val="single" w:color="0078D4" w:sz="1"/>
              <w:bottom w:val="single" w:color="0078D4" w:sz="1"/>
              <w:right w:val="single" w:color="0078D4" w:sz="1"/>
            </w:tcBorders>
            <w:shd w:fill="1E1E1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Criar todas as labels de uma vez via GitHub CLI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gh label create "good first issue" --color "107C10" \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--description "Boa para quem está contribuindo pela primeira vez"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Ou usar uma action que lê o labels.yml automaticamente: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- uses: crazy-max/ghaction-github-labeler@v5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  with: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    github-token: ${{ secrets.GITHUB_TOKEN }}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    yaml-file: .github/labels.yml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80" w:before="260"/>
      </w:pPr>
      <w:r>
        <w:rPr>
          <w:rFonts w:ascii="Segoe UI" w:cs="Segoe UI" w:eastAsia="Segoe UI" w:hAnsi="Segoe UI"/>
          <w:b/>
          <w:bCs/>
          <w:color w:val="1A1A2E"/>
          <w:sz w:val="27"/>
          <w:szCs w:val="27"/>
        </w:rPr>
        <w:t xml:space="preserve">6.2 Labels e seu uso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000"/>
        <w:gridCol w:w="1800"/>
        <w:gridCol w:w="4160"/>
      </w:tblGrid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3F6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1A1A2E"/>
                <w:sz w:val="21"/>
                <w:szCs w:val="21"/>
              </w:rPr>
              <w:t xml:space="preserve">Label</w:t>
            </w:r>
          </w:p>
        </w:tc>
        <w:tc>
          <w:tcPr>
            <w:tcW w:type="dxa" w:w="1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3F6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1A1A2E"/>
                <w:sz w:val="21"/>
                <w:szCs w:val="21"/>
              </w:rPr>
              <w:t xml:space="preserve">Cor</w:t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3F6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1A1A2E"/>
                <w:sz w:val="21"/>
                <w:szCs w:val="21"/>
              </w:rPr>
              <w:t xml:space="preserve">Quem usa</w:t>
            </w:r>
          </w:p>
        </w:tc>
        <w:tc>
          <w:tcPr>
            <w:tcW w:type="dxa" w:w="4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3F6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1A1A2E"/>
                <w:sz w:val="21"/>
                <w:szCs w:val="21"/>
              </w:rPr>
              <w:t xml:space="preserve">Significado</w:t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424242"/>
                <w:sz w:val="20"/>
                <w:szCs w:val="20"/>
              </w:rPr>
              <w:t xml:space="preserve">good first issue</w:t>
            </w:r>
          </w:p>
        </w:tc>
        <w:tc>
          <w:tcPr>
            <w:tcW w:type="dxa" w:w="1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424242"/>
                <w:sz w:val="20"/>
                <w:szCs w:val="20"/>
              </w:rPr>
              <w:t xml:space="preserve">Verde</w:t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424242"/>
                <w:sz w:val="20"/>
                <w:szCs w:val="20"/>
              </w:rPr>
              <w:t xml:space="preserve">Maintainer</w:t>
            </w:r>
          </w:p>
        </w:tc>
        <w:tc>
          <w:tcPr>
            <w:tcW w:type="dxa" w:w="4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424242"/>
                <w:sz w:val="20"/>
                <w:szCs w:val="20"/>
              </w:rPr>
              <w:t xml:space="preserve">Issues simples, bem delimitadas, para novos contribuidores</w:t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AFB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424242"/>
                <w:sz w:val="20"/>
                <w:szCs w:val="20"/>
              </w:rPr>
              <w:t xml:space="preserve">help wanted</w:t>
            </w:r>
          </w:p>
        </w:tc>
        <w:tc>
          <w:tcPr>
            <w:tcW w:type="dxa" w:w="1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AFB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424242"/>
                <w:sz w:val="20"/>
                <w:szCs w:val="20"/>
              </w:rPr>
              <w:t xml:space="preserve">Teal</w:t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AFB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424242"/>
                <w:sz w:val="20"/>
                <w:szCs w:val="20"/>
              </w:rPr>
              <w:t xml:space="preserve">Maintainer</w:t>
            </w:r>
          </w:p>
        </w:tc>
        <w:tc>
          <w:tcPr>
            <w:tcW w:type="dxa" w:w="4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AFB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424242"/>
                <w:sz w:val="20"/>
                <w:szCs w:val="20"/>
              </w:rPr>
              <w:t xml:space="preserve">Maintainer não vai priorizar mas aceita contribuição externa</w:t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424242"/>
                <w:sz w:val="20"/>
                <w:szCs w:val="20"/>
              </w:rPr>
              <w:t xml:space="preserve">blocked</w:t>
            </w:r>
          </w:p>
        </w:tc>
        <w:tc>
          <w:tcPr>
            <w:tcW w:type="dxa" w:w="1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424242"/>
                <w:sz w:val="20"/>
                <w:szCs w:val="20"/>
              </w:rPr>
              <w:t xml:space="preserve">Vermelho</w:t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424242"/>
                <w:sz w:val="20"/>
                <w:szCs w:val="20"/>
              </w:rPr>
              <w:t xml:space="preserve">Maintainer</w:t>
            </w:r>
          </w:p>
        </w:tc>
        <w:tc>
          <w:tcPr>
            <w:tcW w:type="dxa" w:w="4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424242"/>
                <w:sz w:val="20"/>
                <w:szCs w:val="20"/>
              </w:rPr>
              <w:t xml:space="preserve">Issue não pode começar — dependência não concluída</w:t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AFB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424242"/>
                <w:sz w:val="20"/>
                <w:szCs w:val="20"/>
              </w:rPr>
              <w:t xml:space="preserve">in progress</w:t>
            </w:r>
          </w:p>
        </w:tc>
        <w:tc>
          <w:tcPr>
            <w:tcW w:type="dxa" w:w="1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AFB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424242"/>
                <w:sz w:val="20"/>
                <w:szCs w:val="20"/>
              </w:rPr>
              <w:t xml:space="preserve">Laranja</w:t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AFB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424242"/>
                <w:sz w:val="20"/>
                <w:szCs w:val="20"/>
              </w:rPr>
              <w:t xml:space="preserve">Contribuidor</w:t>
            </w:r>
          </w:p>
        </w:tc>
        <w:tc>
          <w:tcPr>
            <w:tcW w:type="dxa" w:w="4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AFB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424242"/>
                <w:sz w:val="20"/>
                <w:szCs w:val="20"/>
              </w:rPr>
              <w:t xml:space="preserve">Alguém já está trabalhando — evita trabalho duplicado</w:t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424242"/>
                <w:sz w:val="20"/>
                <w:szCs w:val="20"/>
              </w:rPr>
              <w:t xml:space="preserve">needs-triage</w:t>
            </w:r>
          </w:p>
        </w:tc>
        <w:tc>
          <w:tcPr>
            <w:tcW w:type="dxa" w:w="1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424242"/>
                <w:sz w:val="20"/>
                <w:szCs w:val="20"/>
              </w:rPr>
              <w:t xml:space="preserve">Cinza</w:t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424242"/>
                <w:sz w:val="20"/>
                <w:szCs w:val="20"/>
              </w:rPr>
              <w:t xml:space="preserve">Automático</w:t>
            </w:r>
          </w:p>
        </w:tc>
        <w:tc>
          <w:tcPr>
            <w:tcW w:type="dxa" w:w="4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424242"/>
                <w:sz w:val="20"/>
                <w:szCs w:val="20"/>
              </w:rPr>
              <w:t xml:space="preserve">Issue nova não classificada ainda</w:t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AFB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424242"/>
                <w:sz w:val="20"/>
                <w:szCs w:val="20"/>
              </w:rPr>
              <w:t xml:space="preserve">needs more info</w:t>
            </w:r>
          </w:p>
        </w:tc>
        <w:tc>
          <w:tcPr>
            <w:tcW w:type="dxa" w:w="1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AFB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424242"/>
                <w:sz w:val="20"/>
                <w:szCs w:val="20"/>
              </w:rPr>
              <w:t xml:space="preserve">Laranja</w:t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AFB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424242"/>
                <w:sz w:val="20"/>
                <w:szCs w:val="20"/>
              </w:rPr>
              <w:t xml:space="preserve">Maintainer</w:t>
            </w:r>
          </w:p>
        </w:tc>
        <w:tc>
          <w:tcPr>
            <w:tcW w:type="dxa" w:w="4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AFB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424242"/>
                <w:sz w:val="20"/>
                <w:szCs w:val="20"/>
              </w:rPr>
              <w:t xml:space="preserve">Aguardando mais detalhes de quem abriu</w:t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424242"/>
                <w:sz w:val="20"/>
                <w:szCs w:val="20"/>
              </w:rPr>
              <w:t xml:space="preserve">area: core</w:t>
            </w:r>
          </w:p>
        </w:tc>
        <w:tc>
          <w:tcPr>
            <w:tcW w:type="dxa" w:w="1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424242"/>
                <w:sz w:val="20"/>
                <w:szCs w:val="20"/>
              </w:rPr>
              <w:t xml:space="preserve">Roxo</w:t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424242"/>
                <w:sz w:val="20"/>
                <w:szCs w:val="20"/>
              </w:rPr>
              <w:t xml:space="preserve">Maintainer</w:t>
            </w:r>
          </w:p>
        </w:tc>
        <w:tc>
          <w:tcPr>
            <w:tcW w:type="dxa" w:w="4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424242"/>
                <w:sz w:val="20"/>
                <w:szCs w:val="20"/>
              </w:rPr>
              <w:t xml:space="preserve">Issue afeta WingetEasy.Core</w:t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AFB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424242"/>
                <w:sz w:val="20"/>
                <w:szCs w:val="20"/>
              </w:rPr>
              <w:t xml:space="preserve">area: ui</w:t>
            </w:r>
          </w:p>
        </w:tc>
        <w:tc>
          <w:tcPr>
            <w:tcW w:type="dxa" w:w="1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AFB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424242"/>
                <w:sz w:val="20"/>
                <w:szCs w:val="20"/>
              </w:rPr>
              <w:t xml:space="preserve">Verde</w:t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AFB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424242"/>
                <w:sz w:val="20"/>
                <w:szCs w:val="20"/>
              </w:rPr>
              <w:t xml:space="preserve">Maintainer</w:t>
            </w:r>
          </w:p>
        </w:tc>
        <w:tc>
          <w:tcPr>
            <w:tcW w:type="dxa" w:w="4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AFB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424242"/>
                <w:sz w:val="20"/>
                <w:szCs w:val="20"/>
              </w:rPr>
              <w:t xml:space="preserve">Issue afeta WingetEasy.App (visual)</w:t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424242"/>
                <w:sz w:val="20"/>
                <w:szCs w:val="20"/>
              </w:rPr>
              <w:t xml:space="preserve">area: data</w:t>
            </w:r>
          </w:p>
        </w:tc>
        <w:tc>
          <w:tcPr>
            <w:tcW w:type="dxa" w:w="1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424242"/>
                <w:sz w:val="20"/>
                <w:szCs w:val="20"/>
              </w:rPr>
              <w:t xml:space="preserve">Azul</w:t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424242"/>
                <w:sz w:val="20"/>
                <w:szCs w:val="20"/>
              </w:rPr>
              <w:t xml:space="preserve">Maintainer</w:t>
            </w:r>
          </w:p>
        </w:tc>
        <w:tc>
          <w:tcPr>
            <w:tcW w:type="dxa" w:w="4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424242"/>
                <w:sz w:val="20"/>
                <w:szCs w:val="20"/>
              </w:rPr>
              <w:t xml:space="preserve">Issue afeta WingetEasy.Data (banco)</w:t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AFB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424242"/>
                <w:sz w:val="20"/>
                <w:szCs w:val="20"/>
              </w:rPr>
              <w:t xml:space="preserve">priority: critical</w:t>
            </w:r>
          </w:p>
        </w:tc>
        <w:tc>
          <w:tcPr>
            <w:tcW w:type="dxa" w:w="1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AFB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424242"/>
                <w:sz w:val="20"/>
                <w:szCs w:val="20"/>
              </w:rPr>
              <w:t xml:space="preserve">Vermelho</w:t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AFB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424242"/>
                <w:sz w:val="20"/>
                <w:szCs w:val="20"/>
              </w:rPr>
              <w:t xml:space="preserve">Maintainer</w:t>
            </w:r>
          </w:p>
        </w:tc>
        <w:tc>
          <w:tcPr>
            <w:tcW w:type="dxa" w:w="4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AFB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424242"/>
                <w:sz w:val="20"/>
                <w:szCs w:val="20"/>
              </w:rPr>
              <w:t xml:space="preserve">Quebra o app para todos — corrigir imediatamente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80" w:before="260"/>
      </w:pPr>
      <w:r>
        <w:rPr>
          <w:rFonts w:ascii="Segoe UI" w:cs="Segoe UI" w:eastAsia="Segoe UI" w:hAnsi="Segoe UI"/>
          <w:b/>
          <w:bCs/>
          <w:color w:val="1A1A2E"/>
          <w:sz w:val="27"/>
          <w:szCs w:val="27"/>
        </w:rPr>
        <w:t xml:space="preserve">6.3 .editorconfig — Estilos automáticos</w:t>
      </w:r>
    </w:p>
    <w:p>
      <w:pPr>
        <w:spacing w:after="60" w:before="40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B1B1B"/>
          <w:sz w:val="22"/>
          <w:szCs w:val="22"/>
        </w:rPr>
        <w:t xml:space="preserve">O arquivo .editorconfig na raiz define todas as convenções de formatação. O Visual Studio 2022 e o VSCode (com extensão C#) aplicam automaticamente ao salvar. Ninguém precisa lembrar ou discutir estilo em PR.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4560"/>
      </w:tblGrid>
      <w:t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3F6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1A1A2E"/>
                <w:sz w:val="21"/>
                <w:szCs w:val="21"/>
              </w:rPr>
              <w:t xml:space="preserve">Regra</w:t>
            </w:r>
          </w:p>
        </w:tc>
        <w:tc>
          <w:tcPr>
            <w:tcW w:type="dxa" w:w="2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3F6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1A1A2E"/>
                <w:sz w:val="21"/>
                <w:szCs w:val="21"/>
              </w:rPr>
              <w:t xml:space="preserve">Valor configurado</w:t>
            </w:r>
          </w:p>
        </w:tc>
        <w:tc>
          <w:tcPr>
            <w:tcW w:type="dxa" w:w="4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3F6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1A1A2E"/>
                <w:sz w:val="21"/>
                <w:szCs w:val="21"/>
              </w:rPr>
              <w:t xml:space="preserve">Por quê</w:t>
            </w:r>
          </w:p>
        </w:tc>
      </w:tr>
      <w:t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424242"/>
                <w:sz w:val="20"/>
                <w:szCs w:val="20"/>
              </w:rPr>
              <w:t xml:space="preserve">Indentação</w:t>
            </w:r>
          </w:p>
        </w:tc>
        <w:tc>
          <w:tcPr>
            <w:tcW w:type="dxa" w:w="2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424242"/>
                <w:sz w:val="20"/>
                <w:szCs w:val="20"/>
              </w:rPr>
              <w:t xml:space="preserve">4 espaços (C#), 2 espaços (XAML/JSON/YAML)</w:t>
            </w:r>
          </w:p>
        </w:tc>
        <w:tc>
          <w:tcPr>
            <w:tcW w:type="dxa" w:w="4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424242"/>
                <w:sz w:val="20"/>
                <w:szCs w:val="20"/>
              </w:rPr>
              <w:t xml:space="preserve">Padrão .NET e padrão web</w:t>
            </w:r>
          </w:p>
        </w:tc>
      </w:tr>
      <w:t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AFB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424242"/>
                <w:sz w:val="20"/>
                <w:szCs w:val="20"/>
              </w:rPr>
              <w:t xml:space="preserve">Final de linha</w:t>
            </w:r>
          </w:p>
        </w:tc>
        <w:tc>
          <w:tcPr>
            <w:tcW w:type="dxa" w:w="2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AFB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424242"/>
                <w:sz w:val="20"/>
                <w:szCs w:val="20"/>
              </w:rPr>
              <w:t xml:space="preserve">CRLF</w:t>
            </w:r>
          </w:p>
        </w:tc>
        <w:tc>
          <w:tcPr>
            <w:tcW w:type="dxa" w:w="4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AFB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424242"/>
                <w:sz w:val="20"/>
                <w:szCs w:val="20"/>
              </w:rPr>
              <w:t xml:space="preserve">Windows — evita diffs de line ending no Git</w:t>
            </w:r>
          </w:p>
        </w:tc>
      </w:tr>
      <w:t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424242"/>
                <w:sz w:val="20"/>
                <w:szCs w:val="20"/>
              </w:rPr>
              <w:t xml:space="preserve">Linha máxima</w:t>
            </w:r>
          </w:p>
        </w:tc>
        <w:tc>
          <w:tcPr>
            <w:tcW w:type="dxa" w:w="2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424242"/>
                <w:sz w:val="20"/>
                <w:szCs w:val="20"/>
              </w:rPr>
              <w:t xml:space="preserve">120 caracteres</w:t>
            </w:r>
          </w:p>
        </w:tc>
        <w:tc>
          <w:tcPr>
            <w:tcW w:type="dxa" w:w="4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424242"/>
                <w:sz w:val="20"/>
                <w:szCs w:val="20"/>
              </w:rPr>
              <w:t xml:space="preserve">Visível sem scroll horizontal em 1080p</w:t>
            </w:r>
          </w:p>
        </w:tc>
      </w:tr>
      <w:t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AFB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424242"/>
                <w:sz w:val="20"/>
                <w:szCs w:val="20"/>
              </w:rPr>
              <w:t xml:space="preserve">Usings</w:t>
            </w:r>
          </w:p>
        </w:tc>
        <w:tc>
          <w:tcPr>
            <w:tcW w:type="dxa" w:w="2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AFB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424242"/>
                <w:sz w:val="20"/>
                <w:szCs w:val="20"/>
              </w:rPr>
              <w:t xml:space="preserve">System primeiro, depois grupos separados</w:t>
            </w:r>
          </w:p>
        </w:tc>
        <w:tc>
          <w:tcPr>
            <w:tcW w:type="dxa" w:w="4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AFB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424242"/>
                <w:sz w:val="20"/>
                <w:szCs w:val="20"/>
              </w:rPr>
              <w:t xml:space="preserve">Padrão Microsoft</w:t>
            </w:r>
          </w:p>
        </w:tc>
      </w:tr>
      <w:t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424242"/>
                <w:sz w:val="20"/>
                <w:szCs w:val="20"/>
              </w:rPr>
              <w:t xml:space="preserve">var</w:t>
            </w:r>
          </w:p>
        </w:tc>
        <w:tc>
          <w:tcPr>
            <w:tcW w:type="dxa" w:w="2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424242"/>
                <w:sz w:val="20"/>
                <w:szCs w:val="20"/>
              </w:rPr>
              <w:t xml:space="preserve">Apenas quando tipo é aparente</w:t>
            </w:r>
          </w:p>
        </w:tc>
        <w:tc>
          <w:tcPr>
            <w:tcW w:type="dxa" w:w="4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424242"/>
                <w:sz w:val="20"/>
                <w:szCs w:val="20"/>
              </w:rPr>
              <w:t xml:space="preserve">Legibilidade — não esconder tipos importantes</w:t>
            </w:r>
          </w:p>
        </w:tc>
      </w:tr>
      <w:t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AFB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424242"/>
                <w:sz w:val="20"/>
                <w:szCs w:val="20"/>
              </w:rPr>
              <w:t xml:space="preserve">CS4014 (Task não aguardada)</w:t>
            </w:r>
          </w:p>
        </w:tc>
        <w:tc>
          <w:tcPr>
            <w:tcW w:type="dxa" w:w="2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AFB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424242"/>
                <w:sz w:val="20"/>
                <w:szCs w:val="20"/>
              </w:rPr>
              <w:t xml:space="preserve">Error — bloqueia build</w:t>
            </w:r>
          </w:p>
        </w:tc>
        <w:tc>
          <w:tcPr>
            <w:tcW w:type="dxa" w:w="4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AFB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424242"/>
                <w:sz w:val="20"/>
                <w:szCs w:val="20"/>
              </w:rPr>
              <w:t xml:space="preserve">Bug silencioso — Task ignorada nunca gera exception visível</w:t>
            </w:r>
          </w:p>
        </w:tc>
      </w:tr>
      <w:t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424242"/>
                <w:sz w:val="20"/>
                <w:szCs w:val="20"/>
              </w:rPr>
              <w:t xml:space="preserve">CS8602 (deref de nullable)</w:t>
            </w:r>
          </w:p>
        </w:tc>
        <w:tc>
          <w:tcPr>
            <w:tcW w:type="dxa" w:w="2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424242"/>
                <w:sz w:val="20"/>
                <w:szCs w:val="20"/>
              </w:rPr>
              <w:t xml:space="preserve">Error — bloqueia build</w:t>
            </w:r>
          </w:p>
        </w:tc>
        <w:tc>
          <w:tcPr>
            <w:tcW w:type="dxa" w:w="4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424242"/>
                <w:sz w:val="20"/>
                <w:szCs w:val="20"/>
              </w:rPr>
              <w:t xml:space="preserve">Previne NullReferenceException em runtime</w:t>
            </w:r>
          </w:p>
        </w:tc>
      </w:tr>
      <w:t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AFB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424242"/>
                <w:sz w:val="20"/>
                <w:szCs w:val="20"/>
              </w:rPr>
              <w:t xml:space="preserve">CA2000 (dispose)</w:t>
            </w:r>
          </w:p>
        </w:tc>
        <w:tc>
          <w:tcPr>
            <w:tcW w:type="dxa" w:w="2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AFB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424242"/>
                <w:sz w:val="20"/>
                <w:szCs w:val="20"/>
              </w:rPr>
              <w:t xml:space="preserve">Warning</w:t>
            </w:r>
          </w:p>
        </w:tc>
        <w:tc>
          <w:tcPr>
            <w:tcW w:type="dxa" w:w="4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AFB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424242"/>
                <w:sz w:val="20"/>
                <w:szCs w:val="20"/>
              </w:rPr>
              <w:t xml:space="preserve">Lembra de descartar recursos corretamente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80" w:before="260"/>
      </w:pPr>
      <w:r>
        <w:rPr>
          <w:rFonts w:ascii="Segoe UI" w:cs="Segoe UI" w:eastAsia="Segoe UI" w:hAnsi="Segoe UI"/>
          <w:b/>
          <w:bCs/>
          <w:color w:val="1A1A2E"/>
          <w:sz w:val="27"/>
          <w:szCs w:val="27"/>
        </w:rPr>
        <w:t xml:space="preserve">6.4 Fluxo completo de um contribuidor</w:t>
      </w:r>
    </w:p>
    <w:p>
      <w:pPr>
        <w:spacing w:after="60" w:before="40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B1B1B"/>
          <w:sz w:val="22"/>
          <w:szCs w:val="22"/>
        </w:rPr>
        <w:t xml:space="preserve">Do zero ao PR aprovado, sem precisar perguntar nada: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078D4" w:sz="1"/>
              <w:left w:val="single" w:color="0078D4" w:sz="1"/>
              <w:bottom w:val="single" w:color="0078D4" w:sz="1"/>
              <w:right w:val="single" w:color="0078D4" w:sz="1"/>
            </w:tcBorders>
            <w:shd w:fill="F3F6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424242"/>
                <w:sz w:val="18"/>
                <w:szCs w:val="18"/>
              </w:rPr>
              <w:t xml:space="preserve">1. Contribuidor acessa o repositório no GitHub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424242"/>
                <w:sz w:val="18"/>
                <w:szCs w:val="18"/>
              </w:rPr>
              <w:t xml:space="preserve">   └── Lê o README — entende o que é o projeto e como instalar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424242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424242"/>
                <w:sz w:val="18"/>
                <w:szCs w:val="18"/>
              </w:rPr>
              <w:t xml:space="preserve">2. Clica em Issues → filtra por 'good first issue'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424242"/>
                <w:sz w:val="18"/>
                <w:szCs w:val="18"/>
              </w:rPr>
              <w:t xml:space="preserve">   └── Lê a issue: descrição, dependências, tarefas, código de referência, critérios de aceite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424242"/>
                <w:sz w:val="18"/>
                <w:szCs w:val="18"/>
              </w:rPr>
              <w:t xml:space="preserve">   └── Comenta 'vou trabalhar nessa issue' para reservar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424242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424242"/>
                <w:sz w:val="18"/>
                <w:szCs w:val="18"/>
              </w:rPr>
              <w:t xml:space="preserve">3. Configura o ambiente (CONTRIBUTING.md — 5 minutos)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424242"/>
                <w:sz w:val="18"/>
                <w:szCs w:val="18"/>
              </w:rPr>
              <w:t xml:space="preserve">   └── Instala Visual Studio 2022 Community com 2 workloads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424242"/>
                <w:sz w:val="18"/>
                <w:szCs w:val="18"/>
              </w:rPr>
              <w:t xml:space="preserve">   └── Fork → clone → abrir .sln → F5 → ícone na tray = ambiente ok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424242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424242"/>
                <w:sz w:val="18"/>
                <w:szCs w:val="18"/>
              </w:rPr>
              <w:t xml:space="preserve">4. Encontra o arquivo correto (tabela 'Onde cada coisa fica' da seção 3)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424242"/>
                <w:sz w:val="18"/>
                <w:szCs w:val="18"/>
              </w:rPr>
              <w:t xml:space="preserve">   └── Lê o XML doc dos métodos vizinhos para entender o padrão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424242"/>
                <w:sz w:val="18"/>
                <w:szCs w:val="18"/>
              </w:rPr>
              <w:t xml:space="preserve">   └── Implementa seguindo o código de referência da issue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424242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424242"/>
                <w:sz w:val="18"/>
                <w:szCs w:val="18"/>
              </w:rPr>
              <w:t xml:space="preserve">5. Roda os testes: dotnet test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424242"/>
                <w:sz w:val="18"/>
                <w:szCs w:val="18"/>
              </w:rPr>
              <w:t xml:space="preserve">   └── EditorConfig e Analyzers já sublinharam problemas no VS antes do commit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424242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424242"/>
                <w:sz w:val="18"/>
                <w:szCs w:val="18"/>
              </w:rPr>
              <w:t xml:space="preserve">6. Abre o PR usando o template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424242"/>
                <w:sz w:val="18"/>
                <w:szCs w:val="18"/>
              </w:rPr>
              <w:t xml:space="preserve">   └── Template já exige: descrição, Closes #N, como testar, checklist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424242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424242"/>
                <w:sz w:val="18"/>
                <w:szCs w:val="18"/>
              </w:rPr>
              <w:t xml:space="preserve">7. CI roda automaticamente: build + testes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424242"/>
                <w:sz w:val="18"/>
                <w:szCs w:val="18"/>
              </w:rPr>
              <w:t xml:space="preserve">   └── Se passar: revisão humana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424242"/>
                <w:sz w:val="18"/>
                <w:szCs w:val="18"/>
              </w:rPr>
              <w:t xml:space="preserve">   └── Se falhar: PR não pode ser aprovado — contribuidor vê o erro e corrige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424242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424242"/>
                <w:sz w:val="18"/>
                <w:szCs w:val="18"/>
              </w:rPr>
              <w:t xml:space="preserve">8. Revisão e merge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424242"/>
                <w:sz w:val="18"/>
                <w:szCs w:val="18"/>
              </w:rPr>
              <w:t xml:space="preserve">   └── Feedback específico sobre o código — não sobre estilo (editorconfig resolveu isso)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078D4" w:sz="4" w:space="6"/>
        </w:pBdr>
        <w:spacing w:after="120" w:before="400"/>
      </w:pPr>
      <w:r>
        <w:rPr>
          <w:rFonts w:ascii="Segoe UI" w:cs="Segoe UI" w:eastAsia="Segoe UI" w:hAnsi="Segoe UI"/>
          <w:b/>
          <w:bCs/>
          <w:color w:val="0078D4"/>
          <w:sz w:val="34"/>
          <w:szCs w:val="34"/>
        </w:rPr>
        <w:t xml:space="preserve">7. Banco de Dados — EF Core + SQLite</w:t>
      </w:r>
    </w:p>
    <w:p>
      <w:pPr>
        <w:spacing w:after="60" w:before="40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B1B1B"/>
          <w:sz w:val="22"/>
          <w:szCs w:val="22"/>
        </w:rPr>
        <w:t xml:space="preserve">SQLite via Entity Framework Core 8. O EF Core gerencia o schema via Migrations — quando o usuário atualiza o WingetEasy, as migrations pendentes são aplicadas automaticamente sem perda de dados e sem intervenção manual.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560"/>
        <w:gridCol w:w="2800"/>
      </w:tblGrid>
      <w:tr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3F6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1A1A2E"/>
                <w:sz w:val="21"/>
                <w:szCs w:val="21"/>
              </w:rPr>
              <w:t xml:space="preserve">Tabela</w:t>
            </w:r>
          </w:p>
        </w:tc>
        <w:tc>
          <w:tcPr>
            <w:tcW w:type="dxa" w:w="4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3F6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1A1A2E"/>
                <w:sz w:val="21"/>
                <w:szCs w:val="21"/>
              </w:rPr>
              <w:t xml:space="preserve">Colunas principais</w:t>
            </w:r>
          </w:p>
        </w:tc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3F6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1A1A2E"/>
                <w:sz w:val="21"/>
                <w:szCs w:val="21"/>
              </w:rPr>
              <w:t xml:space="preserve">Propósito</w:t>
            </w:r>
          </w:p>
        </w:tc>
      </w:tr>
      <w:tr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424242"/>
                <w:sz w:val="20"/>
                <w:szCs w:val="20"/>
              </w:rPr>
              <w:t xml:space="preserve">Packages</w:t>
            </w:r>
          </w:p>
        </w:tc>
        <w:tc>
          <w:tcPr>
            <w:tcW w:type="dxa" w:w="4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424242"/>
                <w:sz w:val="20"/>
                <w:szCs w:val="20"/>
              </w:rPr>
              <w:t xml:space="preserve">Id, WingetId (unique), Name, Source, IsSkipped, SkipReason, SkippedAt</w:t>
            </w:r>
          </w:p>
        </w:tc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424242"/>
                <w:sz w:val="20"/>
                <w:szCs w:val="20"/>
              </w:rPr>
              <w:t xml:space="preserve">Catálogo local + exclusões permanentes</w:t>
            </w:r>
          </w:p>
        </w:tc>
      </w:tr>
      <w:tr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AFB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424242"/>
                <w:sz w:val="20"/>
                <w:szCs w:val="20"/>
              </w:rPr>
              <w:t xml:space="preserve">UpdateHistory</w:t>
            </w:r>
          </w:p>
        </w:tc>
        <w:tc>
          <w:tcPr>
            <w:tcW w:type="dxa" w:w="4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AFB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424242"/>
                <w:sz w:val="20"/>
                <w:szCs w:val="20"/>
              </w:rPr>
              <w:t xml:space="preserve">Id, PackageId, PackageName, FromVersion, ToVersion, UpdatedAt, Status, ErrorMessage, DurationMs</w:t>
            </w:r>
          </w:p>
        </w:tc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AFB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424242"/>
                <w:sz w:val="20"/>
                <w:szCs w:val="20"/>
              </w:rPr>
              <w:t xml:space="preserve">Log completo de cada atualização</w:t>
            </w:r>
          </w:p>
        </w:tc>
      </w:tr>
      <w:tr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424242"/>
                <w:sz w:val="20"/>
                <w:szCs w:val="20"/>
              </w:rPr>
              <w:t xml:space="preserve">Settings</w:t>
            </w:r>
          </w:p>
        </w:tc>
        <w:tc>
          <w:tcPr>
            <w:tcW w:type="dxa" w:w="4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424242"/>
                <w:sz w:val="20"/>
                <w:szCs w:val="20"/>
              </w:rPr>
              <w:t xml:space="preserve">Key (PK), Value, UpdatedAt</w:t>
            </w:r>
          </w:p>
        </w:tc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424242"/>
                <w:sz w:val="20"/>
                <w:szCs w:val="20"/>
              </w:rPr>
              <w:t xml:space="preserve">Configurações em pares chave-valor com suporte a JSON</w:t>
            </w:r>
          </w:p>
        </w:tc>
      </w:tr>
      <w:tr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AFB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424242"/>
                <w:sz w:val="20"/>
                <w:szCs w:val="20"/>
              </w:rPr>
              <w:t xml:space="preserve">CheckLogs</w:t>
            </w:r>
          </w:p>
        </w:tc>
        <w:tc>
          <w:tcPr>
            <w:tcW w:type="dxa" w:w="4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AFB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424242"/>
                <w:sz w:val="20"/>
                <w:szCs w:val="20"/>
              </w:rPr>
              <w:t xml:space="preserve">Id, CheckedAt, FoundCount, DurationMs</w:t>
            </w:r>
          </w:p>
        </w:tc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AFB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424242"/>
                <w:sz w:val="20"/>
                <w:szCs w:val="20"/>
              </w:rPr>
              <w:t xml:space="preserve">Quando verificou e quantos updates encontrou</w:t>
            </w:r>
          </w:p>
        </w:tc>
      </w:tr>
      <w:tr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424242"/>
                <w:sz w:val="20"/>
                <w:szCs w:val="20"/>
              </w:rPr>
              <w:t xml:space="preserve">Profiles</w:t>
            </w:r>
          </w:p>
        </w:tc>
        <w:tc>
          <w:tcPr>
            <w:tcW w:type="dxa" w:w="4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424242"/>
                <w:sz w:val="20"/>
                <w:szCs w:val="20"/>
              </w:rPr>
              <w:t xml:space="preserve">Id (Guid), Name, Description, CreatedAt, PackageIds (JSON)</w:t>
            </w:r>
          </w:p>
        </w:tc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424242"/>
                <w:sz w:val="20"/>
                <w:szCs w:val="20"/>
              </w:rPr>
              <w:t xml:space="preserve">Listas curadas de apps para instalar em lote</w:t>
            </w:r>
          </w:p>
        </w:tc>
      </w:tr>
      <w:tr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AFB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424242"/>
                <w:sz w:val="20"/>
                <w:szCs w:val="20"/>
              </w:rPr>
              <w:t xml:space="preserve">BackupSnapshots</w:t>
            </w:r>
          </w:p>
        </w:tc>
        <w:tc>
          <w:tcPr>
            <w:tcW w:type="dxa" w:w="4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AFB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424242"/>
                <w:sz w:val="20"/>
                <w:szCs w:val="20"/>
              </w:rPr>
              <w:t xml:space="preserve">Id (Guid), Label, CreatedAt, PackageCount, WingetVersion, Data (JSON)</w:t>
            </w:r>
          </w:p>
        </w:tc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AFB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424242"/>
                <w:sz w:val="20"/>
                <w:szCs w:val="20"/>
              </w:rPr>
              <w:t xml:space="preserve">Snapshots de ambiente para restauração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A5010" w:sz="1"/>
              <w:left w:val="single" w:color="CA5010" w:sz="1"/>
              <w:bottom w:val="single" w:color="CA5010" w:sz="1"/>
              <w:right w:val="single" w:color="CA5010" w:sz="1"/>
            </w:tcBorders>
            <w:shd w:fill="CA501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2"/>
                <w:szCs w:val="22"/>
              </w:rPr>
              <w:t xml:space="preserve">Regras de migrations — nunca viole</w:t>
            </w:r>
          </w:p>
        </w:tc>
      </w:tr>
      <w:tr>
        <w:tc>
          <w:tcPr>
            <w:tcBorders>
              <w:top w:val="single" w:color="CA5010" w:sz="1"/>
              <w:left w:val="single" w:color="CA5010" w:sz="1"/>
              <w:bottom w:val="single" w:color="CA5010" w:sz="1"/>
              <w:right w:val="single" w:color="CA5010" w:sz="1"/>
            </w:tcBorders>
            <w:shd w:fill="FFF4C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Segoe UI" w:cs="Segoe UI" w:eastAsia="Segoe UI" w:hAnsi="Segoe UI"/>
                <w:color w:val="1B1B1B"/>
                <w:sz w:val="21"/>
                <w:szCs w:val="21"/>
              </w:rPr>
              <w:t xml:space="preserve">1. NUNCA edite um arquivo de migration gerado manualmente — sempre gere uma nova migration.</w:t>
            </w:r>
          </w:p>
        </w:tc>
      </w:tr>
      <w:tr>
        <w:tc>
          <w:tcPr>
            <w:tcBorders>
              <w:top w:val="single" w:color="CA5010" w:sz="1"/>
              <w:left w:val="single" w:color="CA5010" w:sz="1"/>
              <w:bottom w:val="single" w:color="CA5010" w:sz="1"/>
              <w:right w:val="single" w:color="CA5010" w:sz="1"/>
            </w:tcBorders>
            <w:shd w:fill="FFF4C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Segoe UI" w:cs="Segoe UI" w:eastAsia="Segoe UI" w:hAnsi="Segoe UI"/>
                <w:color w:val="1B1B1B"/>
                <w:sz w:val="21"/>
                <w:szCs w:val="21"/>
              </w:rPr>
              <w:t xml:space="preserve">2. SEMPRE revise o arquivo de migration antes de commitar — o EF Core pode gerar algo inesperado.</w:t>
            </w:r>
          </w:p>
        </w:tc>
      </w:tr>
      <w:tr>
        <w:tc>
          <w:tcPr>
            <w:tcBorders>
              <w:top w:val="single" w:color="CA5010" w:sz="1"/>
              <w:left w:val="single" w:color="CA5010" w:sz="1"/>
              <w:bottom w:val="single" w:color="CA5010" w:sz="1"/>
              <w:right w:val="single" w:color="CA5010" w:sz="1"/>
            </w:tcBorders>
            <w:shd w:fill="FFF4C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Segoe UI" w:cs="Segoe UI" w:eastAsia="Segoe UI" w:hAnsi="Segoe UI"/>
                <w:color w:val="1B1B1B"/>
                <w:sz w:val="21"/>
                <w:szCs w:val="21"/>
              </w:rPr>
              <w:t xml:space="preserve">3. SEMPRE teste a migration em banco vazio E em banco com dados existentes antes de abrir PR.</w:t>
            </w:r>
          </w:p>
        </w:tc>
      </w:tr>
      <w:tr>
        <w:tc>
          <w:tcPr>
            <w:tcBorders>
              <w:top w:val="single" w:color="CA5010" w:sz="1"/>
              <w:left w:val="single" w:color="CA5010" w:sz="1"/>
              <w:bottom w:val="single" w:color="CA5010" w:sz="1"/>
              <w:right w:val="single" w:color="CA5010" w:sz="1"/>
            </w:tcBorders>
            <w:shd w:fill="FFF4C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Segoe UI" w:cs="Segoe UI" w:eastAsia="Segoe UI" w:hAnsi="Segoe UI"/>
                <w:color w:val="1B1B1B"/>
                <w:sz w:val="21"/>
                <w:szCs w:val="21"/>
              </w:rPr>
              <w:t xml:space="preserve">4. O nome da migration deve ser descritivo: AddSkipReasonToPackages, não Migration20240101.</w:t>
            </w:r>
          </w:p>
        </w:tc>
      </w:tr>
      <w:tr>
        <w:tc>
          <w:tcPr>
            <w:tcBorders>
              <w:top w:val="single" w:color="CA5010" w:sz="1"/>
              <w:left w:val="single" w:color="CA5010" w:sz="1"/>
              <w:bottom w:val="single" w:color="CA5010" w:sz="1"/>
              <w:right w:val="single" w:color="CA5010" w:sz="1"/>
            </w:tcBorders>
            <w:shd w:fill="FFF4C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Segoe UI" w:cs="Segoe UI" w:eastAsia="Segoe UI" w:hAnsi="Segoe UI"/>
                <w:color w:val="1B1B1B"/>
                <w:sz w:val="21"/>
                <w:szCs w:val="21"/>
              </w:rPr>
              <w:t xml:space="preserve">5. Migrations são aplicadas automaticamente no startup — db.Database.MigrateAsync() em App.xaml.cs.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078D4" w:sz="4" w:space="6"/>
        </w:pBdr>
        <w:spacing w:after="120" w:before="400"/>
      </w:pPr>
      <w:r>
        <w:rPr>
          <w:rFonts w:ascii="Segoe UI" w:cs="Segoe UI" w:eastAsia="Segoe UI" w:hAnsi="Segoe UI"/>
          <w:b/>
          <w:bCs/>
          <w:color w:val="0078D4"/>
          <w:sz w:val="34"/>
          <w:szCs w:val="34"/>
        </w:rPr>
        <w:t xml:space="preserve">8. Fluxos Principais do Sistema</w:t>
      </w:r>
    </w:p>
    <w:p>
      <w:pPr>
        <w:pStyle w:val="Heading2"/>
        <w:spacing w:after="80" w:before="260"/>
      </w:pPr>
      <w:r>
        <w:rPr>
          <w:rFonts w:ascii="Segoe UI" w:cs="Segoe UI" w:eastAsia="Segoe UI" w:hAnsi="Segoe UI"/>
          <w:b/>
          <w:bCs/>
          <w:color w:val="1A1A2E"/>
          <w:sz w:val="27"/>
          <w:szCs w:val="27"/>
        </w:rPr>
        <w:t xml:space="preserve">8.1 Verificação automática de atualizações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078D4" w:sz="1"/>
              <w:left w:val="single" w:color="0078D4" w:sz="1"/>
              <w:bottom w:val="single" w:color="0078D4" w:sz="1"/>
              <w:right w:val="single" w:color="0078D4" w:sz="1"/>
            </w:tcBorders>
            <w:shd w:fill="F3F6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424242"/>
                <w:sz w:val="18"/>
                <w:szCs w:val="18"/>
              </w:rPr>
              <w:t xml:space="preserve">Task Scheduler do Windows (no horário configurado)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424242"/>
                <w:sz w:val="18"/>
                <w:szCs w:val="18"/>
              </w:rPr>
              <w:t xml:space="preserve">  └── executa: WingetEasy.exe --check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424242"/>
                <w:sz w:val="18"/>
                <w:szCs w:val="18"/>
              </w:rPr>
              <w:t xml:space="preserve">        └── App.OnLaunched detecta --check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424242"/>
                <w:sz w:val="18"/>
                <w:szCs w:val="18"/>
              </w:rPr>
              <w:t xml:space="preserve">              └── IWingetService.CheckUpdatesAsync()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424242"/>
                <w:sz w:val="18"/>
                <w:szCs w:val="18"/>
              </w:rPr>
              <w:t xml:space="preserve">                    └── subprocess: winget upgrade --output json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424242"/>
                <w:sz w:val="18"/>
                <w:szCs w:val="18"/>
              </w:rPr>
              <w:t xml:space="preserve">                          ├── Sem updates → salva CheckLog, encerra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424242"/>
                <w:sz w:val="18"/>
                <w:szCs w:val="18"/>
              </w:rPr>
              <w:t xml:space="preserve">                          └── Com updates → INotificationService.ShowUpdatesAvailable(count)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424242"/>
                <w:sz w:val="18"/>
                <w:szCs w:val="18"/>
              </w:rPr>
              <w:t xml:space="preserve">                                └── Toast Notification nativa aparece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424242"/>
                <w:sz w:val="18"/>
                <w:szCs w:val="18"/>
              </w:rPr>
              <w:t xml:space="preserve">                                      ├── Usuário ignora → fica no Action Center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424242"/>
                <w:sz w:val="18"/>
                <w:szCs w:val="18"/>
              </w:rPr>
              <w:t xml:space="preserve">                                      └── Usuário clica 'Ver agora'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424242"/>
                <w:sz w:val="18"/>
                <w:szCs w:val="18"/>
              </w:rPr>
              <w:t xml:space="preserve">                                            └── UpdateFlyout abre (animação slide-up)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80" w:before="260"/>
      </w:pPr>
      <w:r>
        <w:rPr>
          <w:rFonts w:ascii="Segoe UI" w:cs="Segoe UI" w:eastAsia="Segoe UI" w:hAnsi="Segoe UI"/>
          <w:b/>
          <w:bCs/>
          <w:color w:val="1A1A2E"/>
          <w:sz w:val="27"/>
          <w:szCs w:val="27"/>
        </w:rPr>
        <w:t xml:space="preserve">8.2 Atualização de pacotes selecionados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078D4" w:sz="1"/>
              <w:left w:val="single" w:color="0078D4" w:sz="1"/>
              <w:bottom w:val="single" w:color="0078D4" w:sz="1"/>
              <w:right w:val="single" w:color="0078D4" w:sz="1"/>
            </w:tcBorders>
            <w:shd w:fill="F3F6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424242"/>
                <w:sz w:val="18"/>
                <w:szCs w:val="18"/>
              </w:rPr>
              <w:t xml:space="preserve">UpdateFlyout — usuário seleciona pacotes e clica 'Atualizar agora'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424242"/>
                <w:sz w:val="18"/>
                <w:szCs w:val="18"/>
              </w:rPr>
              <w:t xml:space="preserve">  └── UpdatesViewModel.UpdateSelectedCommand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424242"/>
                <w:sz w:val="18"/>
                <w:szCs w:val="18"/>
              </w:rPr>
              <w:t xml:space="preserve">        └── IAdminElevationHelper.IsRunningAsAdmin()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424242"/>
                <w:sz w:val="18"/>
                <w:szCs w:val="18"/>
              </w:rPr>
              <w:t xml:space="preserve">              ├── É admin → IUpdateService.ExecuteUpdatesAsync(selectedIds)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424242"/>
                <w:sz w:val="18"/>
                <w:szCs w:val="18"/>
              </w:rPr>
              <w:t xml:space="preserve">              └── Não é admin →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424242"/>
                <w:sz w:val="18"/>
                <w:szCs w:val="18"/>
              </w:rPr>
              <w:t xml:space="preserve">                    ContentDialog explicativo → usuário confirma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424242"/>
                <w:sz w:val="18"/>
                <w:szCs w:val="18"/>
              </w:rPr>
              <w:t xml:space="preserve">                      └── Serializa IDs em %TEMP%\winget_easy_job_{guid}.json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424242"/>
                <w:sz w:val="18"/>
                <w:szCs w:val="18"/>
              </w:rPr>
              <w:t xml:space="preserve">                            └── Process.Start(WingetEasy.exe --elevated --job {path})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424242"/>
                <w:sz w:val="18"/>
                <w:szCs w:val="18"/>
              </w:rPr>
              <w:t xml:space="preserve">                                  └── Prompt UAC do Windows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424242"/>
                <w:sz w:val="18"/>
                <w:szCs w:val="18"/>
              </w:rPr>
              <w:t xml:space="preserve">                                        ├── Negado → ContentDialog de aviso, fim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424242"/>
                <w:sz w:val="18"/>
                <w:szCs w:val="18"/>
              </w:rPr>
              <w:t xml:space="preserve">                                        └── Aprovado → processo elevado executa: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424242"/>
                <w:sz w:val="18"/>
                <w:szCs w:val="18"/>
              </w:rPr>
              <w:t xml:space="preserve">                                              winget upgrade --id ID --silent (loop)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424242"/>
                <w:sz w:val="18"/>
                <w:szCs w:val="18"/>
              </w:rPr>
              <w:t xml:space="preserve">                                              └── salva resultado em winget_easy_result_{guid}.json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424242"/>
                <w:sz w:val="18"/>
                <w:szCs w:val="18"/>
              </w:rPr>
              <w:t xml:space="preserve">                                                    └── processo principal lê via FileSystemWatcher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424242"/>
                <w:sz w:val="18"/>
                <w:szCs w:val="18"/>
              </w:rPr>
              <w:t xml:space="preserve">                                                          └── atualiza UI + salva UpdateHistory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424242"/>
                <w:sz w:val="18"/>
                <w:szCs w:val="18"/>
              </w:rPr>
              <w:t xml:space="preserve">                                                                └── deleta ambos os arquivos temp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424242"/>
                <w:sz w:val="18"/>
                <w:szCs w:val="18"/>
              </w:rPr>
              <w:t xml:space="preserve">                                                                      └── Toast de conclusão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078D4" w:sz="4" w:space="6"/>
        </w:pBdr>
        <w:spacing w:after="120" w:before="400"/>
      </w:pPr>
      <w:r>
        <w:rPr>
          <w:rFonts w:ascii="Segoe UI" w:cs="Segoe UI" w:eastAsia="Segoe UI" w:hAnsi="Segoe UI"/>
          <w:b/>
          <w:bCs/>
          <w:color w:val="0078D4"/>
          <w:sz w:val="34"/>
          <w:szCs w:val="34"/>
        </w:rPr>
        <w:t xml:space="preserve">9. Segurança e Boas Práticas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50F1F" w:sz="1"/>
              <w:left w:val="single" w:color="C50F1F" w:sz="1"/>
              <w:bottom w:val="single" w:color="C50F1F" w:sz="1"/>
              <w:right w:val="single" w:color="C50F1F" w:sz="1"/>
            </w:tcBorders>
            <w:shd w:fill="C50F1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2"/>
                <w:szCs w:val="22"/>
              </w:rPr>
              <w:t xml:space="preserve">Regras de segurança — nunca viole</w:t>
            </w:r>
          </w:p>
        </w:tc>
      </w:tr>
      <w:tr>
        <w:tc>
          <w:tcPr>
            <w:tcBorders>
              <w:top w:val="single" w:color="C50F1F" w:sz="1"/>
              <w:left w:val="single" w:color="C50F1F" w:sz="1"/>
              <w:bottom w:val="single" w:color="C50F1F" w:sz="1"/>
              <w:right w:val="single" w:color="C50F1F" w:sz="1"/>
            </w:tcBorders>
            <w:shd w:fill="FDE7E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Segoe UI" w:cs="Segoe UI" w:eastAsia="Segoe UI" w:hAnsi="Segoe UI"/>
                <w:color w:val="1B1B1B"/>
                <w:sz w:val="21"/>
                <w:szCs w:val="21"/>
              </w:rPr>
              <w:t xml:space="preserve">1. O processo principal NUNCA roda como administrador em hipótese alguma.</w:t>
            </w:r>
          </w:p>
        </w:tc>
      </w:tr>
      <w:tr>
        <w:tc>
          <w:tcPr>
            <w:tcBorders>
              <w:top w:val="single" w:color="C50F1F" w:sz="1"/>
              <w:left w:val="single" w:color="C50F1F" w:sz="1"/>
              <w:bottom w:val="single" w:color="C50F1F" w:sz="1"/>
              <w:right w:val="single" w:color="C50F1F" w:sz="1"/>
            </w:tcBorders>
            <w:shd w:fill="FDE7E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Segoe UI" w:cs="Segoe UI" w:eastAsia="Segoe UI" w:hAnsi="Segoe UI"/>
                <w:color w:val="1B1B1B"/>
                <w:sz w:val="21"/>
                <w:szCs w:val="21"/>
              </w:rPr>
              <w:t xml:space="preserve">2. Package IDs são SEMPRE validados com regex ^[A-Za-z0-9._\-]+$ antes de chegar ao subprocess.</w:t>
            </w:r>
          </w:p>
        </w:tc>
      </w:tr>
      <w:tr>
        <w:tc>
          <w:tcPr>
            <w:tcBorders>
              <w:top w:val="single" w:color="C50F1F" w:sz="1"/>
              <w:left w:val="single" w:color="C50F1F" w:sz="1"/>
              <w:bottom w:val="single" w:color="C50F1F" w:sz="1"/>
              <w:right w:val="single" w:color="C50F1F" w:sz="1"/>
            </w:tcBorders>
            <w:shd w:fill="FDE7E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Segoe UI" w:cs="Segoe UI" w:eastAsia="Segoe UI" w:hAnsi="Segoe UI"/>
                <w:color w:val="1B1B1B"/>
                <w:sz w:val="21"/>
                <w:szCs w:val="21"/>
              </w:rPr>
              <w:t xml:space="preserve">3. Arquivos temporários de UAC são deletados imediatamente após leitura — mesmo em caso de erro.</w:t>
            </w:r>
          </w:p>
        </w:tc>
      </w:tr>
      <w:tr>
        <w:tc>
          <w:tcPr>
            <w:tcBorders>
              <w:top w:val="single" w:color="C50F1F" w:sz="1"/>
              <w:left w:val="single" w:color="C50F1F" w:sz="1"/>
              <w:bottom w:val="single" w:color="C50F1F" w:sz="1"/>
              <w:right w:val="single" w:color="C50F1F" w:sz="1"/>
            </w:tcBorders>
            <w:shd w:fill="FDE7E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Segoe UI" w:cs="Segoe UI" w:eastAsia="Segoe UI" w:hAnsi="Segoe UI"/>
                <w:color w:val="1B1B1B"/>
                <w:sz w:val="21"/>
                <w:szCs w:val="21"/>
              </w:rPr>
              <w:t xml:space="preserve">4. Nenhuma credencial, token ou dado sensível é armazenado — o app não tem backend.</w:t>
            </w:r>
          </w:p>
        </w:tc>
      </w:tr>
      <w:tr>
        <w:tc>
          <w:tcPr>
            <w:tcBorders>
              <w:top w:val="single" w:color="C50F1F" w:sz="1"/>
              <w:left w:val="single" w:color="C50F1F" w:sz="1"/>
              <w:bottom w:val="single" w:color="C50F1F" w:sz="1"/>
              <w:right w:val="single" w:color="C50F1F" w:sz="1"/>
            </w:tcBorders>
            <w:shd w:fill="FDE7E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Segoe UI" w:cs="Segoe UI" w:eastAsia="Segoe UI" w:hAnsi="Segoe UI"/>
                <w:color w:val="1B1B1B"/>
                <w:sz w:val="21"/>
                <w:szCs w:val="21"/>
              </w:rPr>
              <w:t xml:space="preserve">5. Logs nunca contêm dados pessoais do usuário — apenas IDs de pacotes e resultados.</w:t>
            </w:r>
          </w:p>
        </w:tc>
      </w:tr>
      <w:tr>
        <w:tc>
          <w:tcPr>
            <w:tcBorders>
              <w:top w:val="single" w:color="C50F1F" w:sz="1"/>
              <w:left w:val="single" w:color="C50F1F" w:sz="1"/>
              <w:bottom w:val="single" w:color="C50F1F" w:sz="1"/>
              <w:right w:val="single" w:color="C50F1F" w:sz="1"/>
            </w:tcBorders>
            <w:shd w:fill="FDE7E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Segoe UI" w:cs="Segoe UI" w:eastAsia="Segoe UI" w:hAnsi="Segoe UI"/>
                <w:color w:val="1B1B1B"/>
                <w:sz w:val="21"/>
                <w:szCs w:val="21"/>
              </w:rPr>
              <w:t xml:space="preserve">6. O processo elevado encerra com Environment.Exit(0) após concluir — nunca fica órfão.</w:t>
            </w:r>
          </w:p>
        </w:tc>
      </w:tr>
      <w:tr>
        <w:tc>
          <w:tcPr>
            <w:tcBorders>
              <w:top w:val="single" w:color="C50F1F" w:sz="1"/>
              <w:left w:val="single" w:color="C50F1F" w:sz="1"/>
              <w:bottom w:val="single" w:color="C50F1F" w:sz="1"/>
              <w:right w:val="single" w:color="C50F1F" w:sz="1"/>
            </w:tcBorders>
            <w:shd w:fill="FDE7E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Segoe UI" w:cs="Segoe UI" w:eastAsia="Segoe UI" w:hAnsi="Segoe UI"/>
                <w:color w:val="1B1B1B"/>
                <w:sz w:val="21"/>
                <w:szCs w:val="21"/>
              </w:rPr>
              <w:t xml:space="preserve">7. Cancelar o prompt UAC retorna graciosamente — nunca causa crash ou estado inconsistente.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078D4" w:sz="4" w:space="6"/>
        </w:pBdr>
        <w:spacing w:after="120" w:before="400"/>
      </w:pPr>
      <w:r>
        <w:rPr>
          <w:rFonts w:ascii="Segoe UI" w:cs="Segoe UI" w:eastAsia="Segoe UI" w:hAnsi="Segoe UI"/>
          <w:b/>
          <w:bCs/>
          <w:color w:val="0078D4"/>
          <w:sz w:val="34"/>
          <w:szCs w:val="34"/>
        </w:rPr>
        <w:t xml:space="preserve">10. CI/CD — GitHub Actions</w:t>
      </w:r>
    </w:p>
    <w:p>
      <w:pPr>
        <w:pStyle w:val="Heading2"/>
        <w:spacing w:after="80" w:before="260"/>
      </w:pPr>
      <w:r>
        <w:rPr>
          <w:rFonts w:ascii="Segoe UI" w:cs="Segoe UI" w:eastAsia="Segoe UI" w:hAnsi="Segoe UI"/>
          <w:b/>
          <w:bCs/>
          <w:color w:val="1A1A2E"/>
          <w:sz w:val="27"/>
          <w:szCs w:val="27"/>
        </w:rPr>
        <w:t xml:space="preserve">10.1 Workflow de CI (ci.yml)</w:t>
      </w:r>
    </w:p>
    <w:p>
      <w:pPr>
        <w:spacing w:after="60" w:before="40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B1B1B"/>
          <w:sz w:val="22"/>
          <w:szCs w:val="22"/>
        </w:rPr>
        <w:t xml:space="preserve">Acionado em todo push nas branches main e develop, e em todo Pull Request. Um PR não pode ser aprovado se o CI falhar.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078D4" w:sz="1"/>
              <w:left w:val="single" w:color="0078D4" w:sz="1"/>
              <w:bottom w:val="single" w:color="0078D4" w:sz="1"/>
              <w:right w:val="single" w:color="0078D4" w:sz="1"/>
            </w:tcBorders>
            <w:shd w:fill="1E1E1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name: CI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on: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push: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branches: [main, develop]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pull_request: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branches: [main]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jobs: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build: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runs-on: windows-latest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steps: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- uses: actions/checkout@v4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- uses: actions/setup-dotnet@v4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with: { dotnet-version: '8.x'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- run: dotnet restore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- run: dotnet build --no-restore -c Release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- run: dotnet test --no-build -c Release --logger trx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- uses: actions/upload-artifact@v4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if: always()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with: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name: test-results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path: '**/*.trx'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  <w:spacing w:after="80" w:before="260"/>
      </w:pPr>
      <w:r>
        <w:rPr>
          <w:rFonts w:ascii="Segoe UI" w:cs="Segoe UI" w:eastAsia="Segoe UI" w:hAnsi="Segoe UI"/>
          <w:b/>
          <w:bCs/>
          <w:color w:val="1A1A2E"/>
          <w:sz w:val="27"/>
          <w:szCs w:val="27"/>
        </w:rPr>
        <w:t xml:space="preserve">10.2 Workflow de Release (release.yml)</w:t>
      </w:r>
    </w:p>
    <w:p>
      <w:pPr>
        <w:spacing w:after="60" w:before="40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B1B1B"/>
          <w:sz w:val="22"/>
          <w:szCs w:val="22"/>
        </w:rPr>
        <w:t xml:space="preserve">Acionado ao criar uma tag v*.*.* no GitHub. Gera o MSIX, assina com certificado EV, e publica a GitHub Release automaticamente.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078D4" w:sz="1"/>
              <w:left w:val="single" w:color="0078D4" w:sz="1"/>
              <w:bottom w:val="single" w:color="0078D4" w:sz="1"/>
              <w:right w:val="single" w:color="0078D4" w:sz="1"/>
            </w:tcBorders>
            <w:shd w:fill="1E1E1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name: Release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on: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push: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tags: ['v*.*.*']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jobs: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release: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runs-on: windows-latest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steps: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- uses: actions/checkout@v4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- uses: actions/setup-dotnet@v4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with: { dotnet-version: '8.x'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- run: dotnet test -c Release              # falhar aqui = não publica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- run: dotnet publish src/WingetEasy.App -c Release -r win-x64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- name: Assinar MSIX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run: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echo ${{ secrets.CERT_PFX_BASE64 }} | base64 -d &gt; cert.pfx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signtool sign /fd SHA256 /td SHA256 /tr http://timestamp.digicert.com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/f cert.pfx /p ${{ secrets.CERT_PASSWORD }} **\*.msix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Remove-Item cert.pfx   # deletar imediatamente após assinar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- uses: softprops/action-gh-release@v1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with: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files: '**/*.msix'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generate_release_notes: true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078D4" w:sz="4" w:space="6"/>
        </w:pBdr>
        <w:spacing w:after="120" w:before="400"/>
      </w:pPr>
      <w:r>
        <w:rPr>
          <w:rFonts w:ascii="Segoe UI" w:cs="Segoe UI" w:eastAsia="Segoe UI" w:hAnsi="Segoe UI"/>
          <w:b/>
          <w:bCs/>
          <w:color w:val="0078D4"/>
          <w:sz w:val="34"/>
          <w:szCs w:val="34"/>
        </w:rPr>
        <w:t xml:space="preserve">11. Distribuição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2960"/>
        <w:gridCol w:w="2600"/>
      </w:tblGrid>
      <w:tr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3F6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1A1A2E"/>
                <w:sz w:val="21"/>
                <w:szCs w:val="21"/>
              </w:rPr>
              <w:t xml:space="preserve">Fase</w:t>
            </w:r>
          </w:p>
        </w:tc>
        <w:tc>
          <w:tcPr>
            <w:tcW w:type="dxa" w:w="2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3F6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1A1A2E"/>
                <w:sz w:val="21"/>
                <w:szCs w:val="21"/>
              </w:rPr>
              <w:t xml:space="preserve">Canal</w:t>
            </w:r>
          </w:p>
        </w:tc>
        <w:tc>
          <w:tcPr>
            <w:tcW w:type="dxa" w:w="29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3F6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1A1A2E"/>
                <w:sz w:val="21"/>
                <w:szCs w:val="21"/>
              </w:rPr>
              <w:t xml:space="preserve">Requisito</w:t>
            </w:r>
          </w:p>
        </w:tc>
        <w:tc>
          <w:tcPr>
            <w:tcW w:type="dxa" w:w="2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3F6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1A1A2E"/>
                <w:sz w:val="21"/>
                <w:szCs w:val="21"/>
              </w:rPr>
              <w:t xml:space="preserve">Audiência alvo</w:t>
            </w:r>
          </w:p>
        </w:tc>
      </w:tr>
      <w:tr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424242"/>
                <w:sz w:val="20"/>
                <w:szCs w:val="20"/>
              </w:rPr>
              <w:t xml:space="preserve">v0.1 Alpha</w:t>
            </w:r>
          </w:p>
        </w:tc>
        <w:tc>
          <w:tcPr>
            <w:tcW w:type="dxa" w:w="2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424242"/>
                <w:sz w:val="20"/>
                <w:szCs w:val="20"/>
              </w:rPr>
              <w:t xml:space="preserve">GitHub Releases (self-signed)</w:t>
            </w:r>
          </w:p>
        </w:tc>
        <w:tc>
          <w:tcPr>
            <w:tcW w:type="dxa" w:w="29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424242"/>
                <w:sz w:val="20"/>
                <w:szCs w:val="20"/>
              </w:rPr>
              <w:t xml:space="preserve">Certificado self-signed — testers instalam manualmente</w:t>
            </w:r>
          </w:p>
        </w:tc>
        <w:tc>
          <w:tcPr>
            <w:tcW w:type="dxa" w:w="2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424242"/>
                <w:sz w:val="20"/>
                <w:szCs w:val="20"/>
              </w:rPr>
              <w:t xml:space="preserve">Devs e early adopters confiáveis</w:t>
            </w:r>
          </w:p>
        </w:tc>
      </w:tr>
      <w:tr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AFB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424242"/>
                <w:sz w:val="20"/>
                <w:szCs w:val="20"/>
              </w:rPr>
              <w:t xml:space="preserve">v0.5 Beta</w:t>
            </w:r>
          </w:p>
        </w:tc>
        <w:tc>
          <w:tcPr>
            <w:tcW w:type="dxa" w:w="2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AFB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424242"/>
                <w:sz w:val="20"/>
                <w:szCs w:val="20"/>
              </w:rPr>
              <w:t xml:space="preserve">GitHub Releases (MSIX assinado)</w:t>
            </w:r>
          </w:p>
        </w:tc>
        <w:tc>
          <w:tcPr>
            <w:tcW w:type="dxa" w:w="29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AFB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424242"/>
                <w:sz w:val="20"/>
                <w:szCs w:val="20"/>
              </w:rPr>
              <w:t xml:space="preserve">Certificado EV (~$200-400/ano)</w:t>
            </w:r>
          </w:p>
        </w:tc>
        <w:tc>
          <w:tcPr>
            <w:tcW w:type="dxa" w:w="2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AFB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424242"/>
                <w:sz w:val="20"/>
                <w:szCs w:val="20"/>
              </w:rPr>
              <w:t xml:space="preserve">Comunidade técnica Windows</w:t>
            </w:r>
          </w:p>
        </w:tc>
      </w:tr>
      <w:tr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424242"/>
                <w:sz w:val="20"/>
                <w:szCs w:val="20"/>
              </w:rPr>
              <w:t xml:space="preserve">v1.0</w:t>
            </w:r>
          </w:p>
        </w:tc>
        <w:tc>
          <w:tcPr>
            <w:tcW w:type="dxa" w:w="2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424242"/>
                <w:sz w:val="20"/>
                <w:szCs w:val="20"/>
              </w:rPr>
              <w:t xml:space="preserve">winget-pkgs (repositório oficial)</w:t>
            </w:r>
          </w:p>
        </w:tc>
        <w:tc>
          <w:tcPr>
            <w:tcW w:type="dxa" w:w="29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424242"/>
                <w:sz w:val="20"/>
                <w:szCs w:val="20"/>
              </w:rPr>
              <w:t xml:space="preserve">MSIX assinado + PR aprovado pela Microsoft</w:t>
            </w:r>
          </w:p>
        </w:tc>
        <w:tc>
          <w:tcPr>
            <w:tcW w:type="dxa" w:w="2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424242"/>
                <w:sz w:val="20"/>
                <w:szCs w:val="20"/>
              </w:rPr>
              <w:t xml:space="preserve">Todos os usuários do Winget</w:t>
            </w:r>
          </w:p>
        </w:tc>
      </w:tr>
      <w:tr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AFB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424242"/>
                <w:sz w:val="20"/>
                <w:szCs w:val="20"/>
              </w:rPr>
              <w:t xml:space="preserve">v1.x+</w:t>
            </w:r>
          </w:p>
        </w:tc>
        <w:tc>
          <w:tcPr>
            <w:tcW w:type="dxa" w:w="2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AFB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424242"/>
                <w:sz w:val="20"/>
                <w:szCs w:val="20"/>
              </w:rPr>
              <w:t xml:space="preserve">Microsoft Store (opcional)</w:t>
            </w:r>
          </w:p>
        </w:tc>
        <w:tc>
          <w:tcPr>
            <w:tcW w:type="dxa" w:w="29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AFB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424242"/>
                <w:sz w:val="20"/>
                <w:szCs w:val="20"/>
              </w:rPr>
              <w:t xml:space="preserve">Conta dev $19 + aprovação da Store</w:t>
            </w:r>
          </w:p>
        </w:tc>
        <w:tc>
          <w:tcPr>
            <w:tcW w:type="dxa" w:w="2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AFB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424242"/>
                <w:sz w:val="20"/>
                <w:szCs w:val="20"/>
              </w:rPr>
              <w:t xml:space="preserve">Usuários não-técnicos, empresas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5C2D91" w:sz="1"/>
              <w:left w:val="single" w:color="5C2D91" w:sz="1"/>
              <w:bottom w:val="single" w:color="5C2D91" w:sz="1"/>
              <w:right w:val="single" w:color="5C2D91" w:sz="1"/>
            </w:tcBorders>
            <w:shd w:fill="5C2D9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2"/>
                <w:szCs w:val="22"/>
              </w:rPr>
              <w:t xml:space="preserve">Por que publicar no winget-pkgs é prioritário</w:t>
            </w:r>
          </w:p>
        </w:tc>
      </w:tr>
      <w:tr>
        <w:tc>
          <w:tcPr>
            <w:tcBorders>
              <w:top w:val="single" w:color="5C2D91" w:sz="1"/>
              <w:left w:val="single" w:color="5C2D91" w:sz="1"/>
              <w:bottom w:val="single" w:color="5C2D91" w:sz="1"/>
              <w:right w:val="single" w:color="5C2D91" w:sz="1"/>
            </w:tcBorders>
            <w:shd w:fill="F0E6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Segoe UI" w:cs="Segoe UI" w:eastAsia="Segoe UI" w:hAnsi="Segoe UI"/>
                <w:color w:val="1B1B1B"/>
                <w:sz w:val="21"/>
                <w:szCs w:val="21"/>
              </w:rPr>
              <w:t xml:space="preserve">winget install SeuNome.WingetEasy é a ironia perfeita — um gerenciador de Winget instalado pelo Winget.</w:t>
            </w:r>
          </w:p>
        </w:tc>
      </w:tr>
      <w:tr>
        <w:tc>
          <w:tcPr>
            <w:tcBorders>
              <w:top w:val="single" w:color="5C2D91" w:sz="1"/>
              <w:left w:val="single" w:color="5C2D91" w:sz="1"/>
              <w:bottom w:val="single" w:color="5C2D91" w:sz="1"/>
              <w:right w:val="single" w:color="5C2D91" w:sz="1"/>
            </w:tcBorders>
            <w:shd w:fill="F0E6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Segoe UI" w:cs="Segoe UI" w:eastAsia="Segoe UI" w:hAnsi="Segoe UI"/>
                <w:color w:val="1B1B1B"/>
                <w:sz w:val="21"/>
                <w:szCs w:val="21"/>
              </w:rPr>
              <w:t xml:space="preserve">O repositório winget-pkgs tem +80k stars no GitHub — visibilidade orgânica garantida.</w:t>
            </w:r>
          </w:p>
        </w:tc>
      </w:tr>
      <w:tr>
        <w:tc>
          <w:tcPr>
            <w:tcBorders>
              <w:top w:val="single" w:color="5C2D91" w:sz="1"/>
              <w:left w:val="single" w:color="5C2D91" w:sz="1"/>
              <w:bottom w:val="single" w:color="5C2D91" w:sz="1"/>
              <w:right w:val="single" w:color="5C2D91" w:sz="1"/>
            </w:tcBorders>
            <w:shd w:fill="F0E6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Segoe UI" w:cs="Segoe UI" w:eastAsia="Segoe UI" w:hAnsi="Segoe UI"/>
                <w:color w:val="1B1B1B"/>
                <w:sz w:val="21"/>
                <w:szCs w:val="21"/>
              </w:rPr>
              <w:t xml:space="preserve">O processo é um único PR com arquivos YAML — aprovação pela Microsoft leva 1-3 dias úteis.</w:t>
            </w:r>
          </w:p>
        </w:tc>
      </w:tr>
      <w:tr>
        <w:tc>
          <w:tcPr>
            <w:tcBorders>
              <w:top w:val="single" w:color="5C2D91" w:sz="1"/>
              <w:left w:val="single" w:color="5C2D91" w:sz="1"/>
              <w:bottom w:val="single" w:color="5C2D91" w:sz="1"/>
              <w:right w:val="single" w:color="5C2D91" w:sz="1"/>
            </w:tcBorders>
            <w:shd w:fill="F0E6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Segoe UI" w:cs="Segoe UI" w:eastAsia="Segoe UI" w:hAnsi="Segoe UI"/>
                <w:color w:val="1B1B1B"/>
                <w:sz w:val="21"/>
                <w:szCs w:val="21"/>
              </w:rPr>
              <w:t xml:space="preserve">A ferramenta wingetcreate gera o manifesto automaticamente a partir da URL do MSIX.</w:t>
            </w:r>
          </w:p>
        </w:tc>
      </w:tr>
      <w:tr>
        <w:tc>
          <w:tcPr>
            <w:tcBorders>
              <w:top w:val="single" w:color="5C2D91" w:sz="1"/>
              <w:left w:val="single" w:color="5C2D91" w:sz="1"/>
              <w:bottom w:val="single" w:color="5C2D91" w:sz="1"/>
              <w:right w:val="single" w:color="5C2D91" w:sz="1"/>
            </w:tcBorders>
            <w:shd w:fill="F0E6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Segoe UI" w:cs="Segoe UI" w:eastAsia="Segoe UI" w:hAnsi="Segoe UI"/>
                <w:color w:val="1B1B1B"/>
                <w:sz w:val="21"/>
                <w:szCs w:val="21"/>
              </w:rPr>
              <w:t xml:space="preserve">Após aprovação, qualquer pessoa com Windows pode instalar sem precisar do GitHub.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078D4" w:sz="4" w:space="6"/>
        </w:pBdr>
        <w:spacing w:after="120" w:before="400"/>
      </w:pPr>
      <w:r>
        <w:rPr>
          <w:rFonts w:ascii="Segoe UI" w:cs="Segoe UI" w:eastAsia="Segoe UI" w:hAnsi="Segoe UI"/>
          <w:b/>
          <w:bCs/>
          <w:color w:val="0078D4"/>
          <w:sz w:val="34"/>
          <w:szCs w:val="34"/>
        </w:rPr>
        <w:t xml:space="preserve">12. Roadmap de Desenvolvimento — 45 Issues em 6 Milestones</w:t>
      </w:r>
    </w:p>
    <w:p>
      <w:pPr>
        <w:spacing w:after="60" w:before="40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B1B1B"/>
          <w:sz w:val="22"/>
          <w:szCs w:val="22"/>
        </w:rPr>
        <w:t xml:space="preserve">O roadmap completo está documentado nas 45 issues do repositório. Cada issue tem: descrição, dependências, tarefas, código de referência e critérios de aceite. Abaixo, o resumo executivo por milestone.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000"/>
        <w:gridCol w:w="2400"/>
        <w:gridCol w:w="3160"/>
        <w:gridCol w:w="800"/>
      </w:tblGrid>
      <w:tr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3F6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1A1A2E"/>
                <w:sz w:val="21"/>
                <w:szCs w:val="21"/>
              </w:rPr>
              <w:t xml:space="preserve">Milestone</w:t>
            </w:r>
          </w:p>
        </w:tc>
        <w:tc>
          <w:tcPr>
            <w:tcW w:type="dxa" w:w="1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3F6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1A1A2E"/>
                <w:sz w:val="21"/>
                <w:szCs w:val="21"/>
              </w:rPr>
              <w:t xml:space="preserve">Issues</w:t>
            </w:r>
          </w:p>
        </w:tc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3F6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1A1A2E"/>
                <w:sz w:val="21"/>
                <w:szCs w:val="21"/>
              </w:rPr>
              <w:t xml:space="preserve">Foco</w:t>
            </w:r>
          </w:p>
        </w:tc>
        <w:tc>
          <w:tcPr>
            <w:tcW w:type="dxa" w:w="3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3F6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1A1A2E"/>
                <w:sz w:val="21"/>
                <w:szCs w:val="21"/>
              </w:rPr>
              <w:t xml:space="preserve">Entregável</w:t>
            </w:r>
          </w:p>
        </w:tc>
        <w:tc>
          <w:tcPr>
            <w:tcW w:type="dxa" w:w="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3F6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1A1A2E"/>
                <w:sz w:val="21"/>
                <w:szCs w:val="21"/>
              </w:rPr>
              <w:t xml:space="preserve">Est.</w:t>
            </w:r>
          </w:p>
        </w:tc>
      </w:tr>
      <w:tr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424242"/>
                <w:sz w:val="20"/>
                <w:szCs w:val="20"/>
              </w:rPr>
              <w:t xml:space="preserve">Setup (0)</w:t>
            </w:r>
          </w:p>
        </w:tc>
        <w:tc>
          <w:tcPr>
            <w:tcW w:type="dxa" w:w="1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424242"/>
                <w:sz w:val="20"/>
                <w:szCs w:val="20"/>
              </w:rPr>
              <w:t xml:space="preserve">#1–#3</w:t>
            </w:r>
          </w:p>
        </w:tc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424242"/>
                <w:sz w:val="20"/>
                <w:szCs w:val="20"/>
              </w:rPr>
              <w:t xml:space="preserve">Solution, NuGet, CI/CD</w:t>
            </w:r>
          </w:p>
        </w:tc>
        <w:tc>
          <w:tcPr>
            <w:tcW w:type="dxa" w:w="3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424242"/>
                <w:sz w:val="20"/>
                <w:szCs w:val="20"/>
              </w:rPr>
              <w:t xml:space="preserve">Projeto compila, CI verde, estrutura correta</w:t>
            </w:r>
          </w:p>
        </w:tc>
        <w:tc>
          <w:tcPr>
            <w:tcW w:type="dxa" w:w="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424242"/>
                <w:sz w:val="20"/>
                <w:szCs w:val="20"/>
              </w:rPr>
              <w:t xml:space="preserve">1 semana</w:t>
            </w:r>
          </w:p>
        </w:tc>
      </w:tr>
      <w:tr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AFB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424242"/>
                <w:sz w:val="20"/>
                <w:szCs w:val="20"/>
              </w:rPr>
              <w:t xml:space="preserve">Core / M1 (1)</w:t>
            </w:r>
          </w:p>
        </w:tc>
        <w:tc>
          <w:tcPr>
            <w:tcW w:type="dxa" w:w="1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AFB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424242"/>
                <w:sz w:val="20"/>
                <w:szCs w:val="20"/>
              </w:rPr>
              <w:t xml:space="preserve">#4–#18</w:t>
            </w:r>
          </w:p>
        </w:tc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AFB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424242"/>
                <w:sz w:val="20"/>
                <w:szCs w:val="20"/>
              </w:rPr>
              <w:t xml:space="preserve">Services, banco, testes</w:t>
            </w:r>
          </w:p>
        </w:tc>
        <w:tc>
          <w:tcPr>
            <w:tcW w:type="dxa" w:w="3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AFB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424242"/>
                <w:sz w:val="20"/>
                <w:szCs w:val="20"/>
              </w:rPr>
              <w:t xml:space="preserve">Backend completo funcionando no console</w:t>
            </w:r>
          </w:p>
        </w:tc>
        <w:tc>
          <w:tcPr>
            <w:tcW w:type="dxa" w:w="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AFB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424242"/>
                <w:sz w:val="20"/>
                <w:szCs w:val="20"/>
              </w:rPr>
              <w:t xml:space="preserve">3–4 semanas</w:t>
            </w:r>
          </w:p>
        </w:tc>
      </w:tr>
      <w:tr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424242"/>
                <w:sz w:val="20"/>
                <w:szCs w:val="20"/>
              </w:rPr>
              <w:t xml:space="preserve">UI Base / M2 (2)</w:t>
            </w:r>
          </w:p>
        </w:tc>
        <w:tc>
          <w:tcPr>
            <w:tcW w:type="dxa" w:w="1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424242"/>
                <w:sz w:val="20"/>
                <w:szCs w:val="20"/>
              </w:rPr>
              <w:t xml:space="preserve">#19–#26</w:t>
            </w:r>
          </w:p>
        </w:tc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424242"/>
                <w:sz w:val="20"/>
                <w:szCs w:val="20"/>
              </w:rPr>
              <w:t xml:space="preserve">WinUI 3, ViewModels, controles</w:t>
            </w:r>
          </w:p>
        </w:tc>
        <w:tc>
          <w:tcPr>
            <w:tcW w:type="dxa" w:w="3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424242"/>
                <w:sz w:val="20"/>
                <w:szCs w:val="20"/>
              </w:rPr>
              <w:t xml:space="preserve">App com tray, UpdateFlyout e Settings</w:t>
            </w:r>
          </w:p>
        </w:tc>
        <w:tc>
          <w:tcPr>
            <w:tcW w:type="dxa" w:w="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424242"/>
                <w:sz w:val="20"/>
                <w:szCs w:val="20"/>
              </w:rPr>
              <w:t xml:space="preserve">3–4 semanas</w:t>
            </w:r>
          </w:p>
        </w:tc>
      </w:tr>
      <w:tr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AFB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424242"/>
                <w:sz w:val="20"/>
                <w:szCs w:val="20"/>
              </w:rPr>
              <w:t xml:space="preserve">Polimento / M3 (3)</w:t>
            </w:r>
          </w:p>
        </w:tc>
        <w:tc>
          <w:tcPr>
            <w:tcW w:type="dxa" w:w="1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AFB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424242"/>
                <w:sz w:val="20"/>
                <w:szCs w:val="20"/>
              </w:rPr>
              <w:t xml:space="preserve">#27–#31</w:t>
            </w:r>
          </w:p>
        </w:tc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AFB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424242"/>
                <w:sz w:val="20"/>
                <w:szCs w:val="20"/>
              </w:rPr>
              <w:t xml:space="preserve">Toast, temas, UAC, histórico</w:t>
            </w:r>
          </w:p>
        </w:tc>
        <w:tc>
          <w:tcPr>
            <w:tcW w:type="dxa" w:w="3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AFB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424242"/>
                <w:sz w:val="20"/>
                <w:szCs w:val="20"/>
              </w:rPr>
              <w:t xml:space="preserve">App completo e robusto — v0.5 beta</w:t>
            </w:r>
          </w:p>
        </w:tc>
        <w:tc>
          <w:tcPr>
            <w:tcW w:type="dxa" w:w="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AFB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424242"/>
                <w:sz w:val="20"/>
                <w:szCs w:val="20"/>
              </w:rPr>
              <w:t xml:space="preserve">2–3 semanas</w:t>
            </w:r>
          </w:p>
        </w:tc>
      </w:tr>
      <w:tr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424242"/>
                <w:sz w:val="20"/>
                <w:szCs w:val="20"/>
              </w:rPr>
              <w:t xml:space="preserve">Avançado / M4 (4)</w:t>
            </w:r>
          </w:p>
        </w:tc>
        <w:tc>
          <w:tcPr>
            <w:tcW w:type="dxa" w:w="1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424242"/>
                <w:sz w:val="20"/>
                <w:szCs w:val="20"/>
              </w:rPr>
              <w:t xml:space="preserve">#32–#39</w:t>
            </w:r>
          </w:p>
        </w:tc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424242"/>
                <w:sz w:val="20"/>
                <w:szCs w:val="20"/>
              </w:rPr>
              <w:t xml:space="preserve">Backup, profiles, headless, auto-update</w:t>
            </w:r>
          </w:p>
        </w:tc>
        <w:tc>
          <w:tcPr>
            <w:tcW w:type="dxa" w:w="3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424242"/>
                <w:sz w:val="20"/>
                <w:szCs w:val="20"/>
              </w:rPr>
              <w:t xml:space="preserve">Todas as features planejadas implementadas</w:t>
            </w:r>
          </w:p>
        </w:tc>
        <w:tc>
          <w:tcPr>
            <w:tcW w:type="dxa" w:w="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424242"/>
                <w:sz w:val="20"/>
                <w:szCs w:val="20"/>
              </w:rPr>
              <w:t xml:space="preserve">3–4 semanas</w:t>
            </w:r>
          </w:p>
        </w:tc>
      </w:tr>
      <w:tr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AFB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424242"/>
                <w:sz w:val="20"/>
                <w:szCs w:val="20"/>
              </w:rPr>
              <w:t xml:space="preserve">Distribuição / M5 (5)</w:t>
            </w:r>
          </w:p>
        </w:tc>
        <w:tc>
          <w:tcPr>
            <w:tcW w:type="dxa" w:w="1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AFB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424242"/>
                <w:sz w:val="20"/>
                <w:szCs w:val="20"/>
              </w:rPr>
              <w:t xml:space="preserve">#40–#45</w:t>
            </w:r>
          </w:p>
        </w:tc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AFB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424242"/>
                <w:sz w:val="20"/>
                <w:szCs w:val="20"/>
              </w:rPr>
              <w:t xml:space="preserve">MSIX, assinatura, winget-pkgs, README</w:t>
            </w:r>
          </w:p>
        </w:tc>
        <w:tc>
          <w:tcPr>
            <w:tcW w:type="dxa" w:w="3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AFB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424242"/>
                <w:sz w:val="20"/>
                <w:szCs w:val="20"/>
              </w:rPr>
              <w:t xml:space="preserve">v1.0 publicado e instalável via winget</w:t>
            </w:r>
          </w:p>
        </w:tc>
        <w:tc>
          <w:tcPr>
            <w:tcW w:type="dxa" w:w="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AFB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424242"/>
                <w:sz w:val="20"/>
                <w:szCs w:val="20"/>
              </w:rPr>
              <w:t xml:space="preserve">1–2 semanas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07C10" w:sz="1"/>
              <w:left w:val="single" w:color="107C10" w:sz="1"/>
              <w:bottom w:val="single" w:color="107C10" w:sz="1"/>
              <w:right w:val="single" w:color="107C10" w:sz="1"/>
            </w:tcBorders>
            <w:shd w:fill="107C1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2"/>
                <w:szCs w:val="22"/>
              </w:rPr>
              <w:t xml:space="preserve">Issues recomendadas para good first issue</w:t>
            </w:r>
          </w:p>
        </w:tc>
      </w:tr>
      <w:tr>
        <w:tc>
          <w:tcPr>
            <w:tcBorders>
              <w:top w:val="single" w:color="107C10" w:sz="1"/>
              <w:left w:val="single" w:color="107C10" w:sz="1"/>
              <w:bottom w:val="single" w:color="107C10" w:sz="1"/>
              <w:right w:val="single" w:color="107C10" w:sz="1"/>
            </w:tcBorders>
            <w:shd w:fill="DFF6D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Segoe UI" w:cs="Segoe UI" w:eastAsia="Segoe UI" w:hAnsi="Segoe UI"/>
                <w:color w:val="1B1B1B"/>
                <w:sz w:val="21"/>
                <w:szCs w:val="21"/>
              </w:rPr>
              <w:t xml:space="preserve">#15 — Implementar logging com Serilog: bem delimitado, sem dependência de UI, resultado imediato.</w:t>
            </w:r>
          </w:p>
        </w:tc>
      </w:tr>
      <w:tr>
        <w:tc>
          <w:tcPr>
            <w:tcBorders>
              <w:top w:val="single" w:color="107C10" w:sz="1"/>
              <w:left w:val="single" w:color="107C10" w:sz="1"/>
              <w:bottom w:val="single" w:color="107C10" w:sz="1"/>
              <w:right w:val="single" w:color="107C10" w:sz="1"/>
            </w:tcBorders>
            <w:shd w:fill="DFF6D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Segoe UI" w:cs="Segoe UI" w:eastAsia="Segoe UI" w:hAnsi="Segoe UI"/>
                <w:color w:val="1B1B1B"/>
                <w:sz w:val="21"/>
                <w:szCs w:val="21"/>
              </w:rPr>
              <w:t xml:space="preserve">#17 — Testes com JSON mockado: cria fixtures de teste, sem subprocess, sem banco, puro C#.</w:t>
            </w:r>
          </w:p>
        </w:tc>
      </w:tr>
      <w:tr>
        <w:tc>
          <w:tcPr>
            <w:tcBorders>
              <w:top w:val="single" w:color="107C10" w:sz="1"/>
              <w:left w:val="single" w:color="107C10" w:sz="1"/>
              <w:bottom w:val="single" w:color="107C10" w:sz="1"/>
              <w:right w:val="single" w:color="107C10" w:sz="1"/>
            </w:tcBorders>
            <w:shd w:fill="DFF6D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Segoe UI" w:cs="Segoe UI" w:eastAsia="Segoe UI" w:hAnsi="Segoe UI"/>
                <w:color w:val="1B1B1B"/>
                <w:sz w:val="21"/>
                <w:szCs w:val="21"/>
              </w:rPr>
              <w:t xml:space="preserve">#18 — Testes de repositórios: banco in-memory, CRUD, sem interface, ideal para aprender EF Core.</w:t>
            </w:r>
          </w:p>
        </w:tc>
      </w:tr>
      <w:tr>
        <w:tc>
          <w:tcPr>
            <w:tcBorders>
              <w:top w:val="single" w:color="107C10" w:sz="1"/>
              <w:left w:val="single" w:color="107C10" w:sz="1"/>
              <w:bottom w:val="single" w:color="107C10" w:sz="1"/>
              <w:right w:val="single" w:color="107C10" w:sz="1"/>
            </w:tcBorders>
            <w:shd w:fill="DFF6D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Segoe UI" w:cs="Segoe UI" w:eastAsia="Segoe UI" w:hAnsi="Segoe UI"/>
                <w:color w:val="1B1B1B"/>
                <w:sz w:val="21"/>
                <w:szCs w:val="21"/>
              </w:rPr>
              <w:t xml:space="preserve">#30 — Histórico com exportação CSV: funcionalidade visual completa, bem especificada.</w:t>
            </w:r>
          </w:p>
        </w:tc>
      </w:tr>
      <w:tr>
        <w:tc>
          <w:tcPr>
            <w:tcBorders>
              <w:top w:val="single" w:color="107C10" w:sz="1"/>
              <w:left w:val="single" w:color="107C10" w:sz="1"/>
              <w:bottom w:val="single" w:color="107C10" w:sz="1"/>
              <w:right w:val="single" w:color="107C10" w:sz="1"/>
            </w:tcBorders>
            <w:shd w:fill="DFF6D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Segoe UI" w:cs="Segoe UI" w:eastAsia="Segoe UI" w:hAnsi="Segoe UI"/>
                <w:color w:val="1B1B1B"/>
                <w:sz w:val="21"/>
                <w:szCs w:val="21"/>
              </w:rPr>
              <w:t xml:space="preserve">#44 — README com screenshots e badges: não requer C# — ideal para contribuidores de documentação.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top w:val="single" w:color="D0D7DE" w:sz="2" w:space="6"/>
        </w:pBdr>
        <w:spacing w:after="60" w:before="120"/>
        <w:jc w:val="center"/>
      </w:pPr>
      <w:r>
        <w:rPr>
          <w:rFonts w:ascii="Segoe UI" w:cs="Segoe UI" w:eastAsia="Segoe UI" w:hAnsi="Segoe UI"/>
          <w:i/>
          <w:iCs/>
          <w:color w:val="6E6E6E"/>
          <w:sz w:val="18"/>
          <w:szCs w:val="18"/>
        </w:rPr>
        <w:t xml:space="preserve">WingetEasy — Documento de Arquitetura v3.0  •  C# + WinUI 3  •  Open Source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color w:val="0078D4"/>
      </w:rPr>
    </w:lvl>
    <w:lvl w:ilvl="1" w15:tentative="1">
      <w:start w:val="1"/>
      <w:numFmt w:val="bullet"/>
      <w:lvlText w:val="◦"/>
      <w:lvlJc w:val="left"/>
      <w:pPr>
        <w:ind w:left="1080" w:hanging="360"/>
      </w:pPr>
    </w:lvl>
    <w:lvl w:ilvl="2" w15:tentative="1">
      <w:start w:val="1"/>
      <w:numFmt w:val="bullet"/>
      <w:lvlText w:val="▪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400"/>
      <w:outlineLvl w:val="0"/>
    </w:pPr>
    <w:rPr>
      <w:rFonts w:ascii="Segoe UI" w:cs="Segoe UI" w:eastAsia="Segoe UI" w:hAnsi="Segoe UI"/>
      <w:b/>
      <w:bCs/>
      <w:color w:val="0078D4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Segoe UI" w:cs="Segoe UI" w:eastAsia="Segoe UI" w:hAnsi="Segoe UI"/>
      <w:b/>
      <w:bCs/>
      <w:color w:val="1A1A2E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Segoe UI" w:cs="Segoe UI" w:eastAsia="Segoe UI" w:hAnsi="Segoe UI"/>
      <w:b/>
      <w:bCs/>
      <w:color w:val="1B1B1B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2026-04-06T18:57:26.341Z</dcterms:created>
  <dcterms:modified xsi:type="dcterms:W3CDTF">2026-04-06T18:57:26.342Z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