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DCC" w:rsidRDefault="00263DCC" w:rsidP="00263DCC">
      <w:pPr>
        <w:autoSpaceDE w:val="0"/>
        <w:autoSpaceDN w:val="0"/>
        <w:spacing w:after="0" w:line="276" w:lineRule="auto"/>
        <w:rPr>
          <w:rFonts w:ascii="Lato" w:hAnsi="Lato"/>
          <w:sz w:val="24"/>
          <w:szCs w:val="20"/>
          <w:lang w:val="fr-CI"/>
        </w:rPr>
      </w:pPr>
    </w:p>
    <w:p w:rsidR="00263DCC" w:rsidRPr="002A1CD3" w:rsidRDefault="00263DCC" w:rsidP="00263DCC">
      <w:pPr>
        <w:autoSpaceDE w:val="0"/>
        <w:autoSpaceDN w:val="0"/>
        <w:spacing w:line="240" w:lineRule="auto"/>
        <w:jc w:val="center"/>
        <w:rPr>
          <w:rFonts w:ascii="Lato" w:hAnsi="Lato"/>
          <w:color w:val="002060"/>
          <w:sz w:val="32"/>
          <w:szCs w:val="20"/>
          <w:lang w:val="fr-CI"/>
        </w:rPr>
      </w:pPr>
      <w:bookmarkStart w:id="0" w:name="_GoBack"/>
      <w:r w:rsidRPr="002A1CD3">
        <w:rPr>
          <w:rFonts w:ascii="Lato" w:eastAsia="Calibri" w:hAnsi="Lato" w:cs="Calibri"/>
          <w:b/>
          <w:bCs/>
          <w:color w:val="002060"/>
          <w:spacing w:val="1"/>
          <w:sz w:val="32"/>
          <w:szCs w:val="20"/>
          <w:u w:val="single"/>
          <w:lang w:val="fr-CI"/>
        </w:rPr>
        <w:t>CONDITIONS GENERALES D’ACQUISITION</w:t>
      </w:r>
    </w:p>
    <w:p w:rsidR="00263DCC" w:rsidRDefault="00263DCC" w:rsidP="00263DCC">
      <w:pPr>
        <w:autoSpaceDE w:val="0"/>
        <w:autoSpaceDN w:val="0"/>
        <w:spacing w:after="0" w:line="276" w:lineRule="auto"/>
        <w:rPr>
          <w:rFonts w:ascii="Lato" w:hAnsi="Lato"/>
          <w:sz w:val="24"/>
          <w:szCs w:val="20"/>
          <w:lang w:val="fr-CI"/>
        </w:rPr>
      </w:pPr>
    </w:p>
    <w:bookmarkEnd w:id="0"/>
    <w:p w:rsidR="00263DCC" w:rsidRPr="00263DCC" w:rsidRDefault="00263DCC" w:rsidP="00263DCC">
      <w:pPr>
        <w:autoSpaceDE w:val="0"/>
        <w:autoSpaceDN w:val="0"/>
        <w:spacing w:after="0" w:line="276" w:lineRule="auto"/>
        <w:rPr>
          <w:rFonts w:ascii="Lato" w:hAnsi="Lato"/>
          <w:sz w:val="24"/>
          <w:szCs w:val="20"/>
          <w:lang w:val="fr-CI"/>
        </w:rPr>
      </w:pPr>
    </w:p>
    <w:p w:rsidR="00263DCC" w:rsidRPr="00E35320" w:rsidRDefault="00263DCC" w:rsidP="00263DCC">
      <w:pPr>
        <w:pStyle w:val="Paragraphedeliste"/>
        <w:numPr>
          <w:ilvl w:val="0"/>
          <w:numId w:val="1"/>
        </w:numPr>
        <w:autoSpaceDE w:val="0"/>
        <w:autoSpaceDN w:val="0"/>
        <w:spacing w:after="0" w:line="276" w:lineRule="auto"/>
        <w:rPr>
          <w:rFonts w:ascii="Lato" w:hAnsi="Lato"/>
          <w:sz w:val="24"/>
          <w:szCs w:val="20"/>
          <w:lang w:val="fr-CI"/>
        </w:rPr>
      </w:pPr>
      <w:r w:rsidRPr="00E35320">
        <w:rPr>
          <w:rFonts w:ascii="Lato" w:hAnsi="Lato"/>
          <w:sz w:val="24"/>
          <w:szCs w:val="20"/>
          <w:lang w:val="fr-CI"/>
        </w:rPr>
        <w:t xml:space="preserve">A la réservation, l’acquéreur ou le réservataire devra verser un apport minimum de </w:t>
      </w:r>
      <w:r>
        <w:rPr>
          <w:rFonts w:ascii="Lato" w:hAnsi="Lato"/>
          <w:sz w:val="24"/>
          <w:szCs w:val="20"/>
          <w:lang w:val="fr-CI"/>
        </w:rPr>
        <w:t>3</w:t>
      </w:r>
      <w:r w:rsidRPr="00E35320">
        <w:rPr>
          <w:rFonts w:ascii="Lato" w:hAnsi="Lato"/>
          <w:sz w:val="24"/>
          <w:szCs w:val="20"/>
          <w:lang w:val="fr-CI"/>
        </w:rPr>
        <w:t xml:space="preserve">0% contre signature d’un contrat de réservation selon le type de villa. </w:t>
      </w:r>
    </w:p>
    <w:p w:rsidR="00263DCC" w:rsidRPr="00E35320" w:rsidRDefault="00263DCC" w:rsidP="00263DCC">
      <w:pPr>
        <w:pStyle w:val="Paragraphedeliste"/>
        <w:autoSpaceDE w:val="0"/>
        <w:autoSpaceDN w:val="0"/>
        <w:spacing w:after="0" w:line="276" w:lineRule="auto"/>
        <w:ind w:left="753"/>
        <w:rPr>
          <w:rFonts w:ascii="Lato" w:hAnsi="Lato"/>
          <w:sz w:val="24"/>
          <w:szCs w:val="20"/>
          <w:lang w:val="fr-CI"/>
        </w:rPr>
      </w:pPr>
    </w:p>
    <w:p w:rsidR="00263DCC" w:rsidRPr="00E35320" w:rsidRDefault="00263DCC" w:rsidP="00263DCC">
      <w:pPr>
        <w:pStyle w:val="Paragraphedeliste"/>
        <w:numPr>
          <w:ilvl w:val="0"/>
          <w:numId w:val="1"/>
        </w:numPr>
        <w:autoSpaceDE w:val="0"/>
        <w:autoSpaceDN w:val="0"/>
        <w:spacing w:line="360" w:lineRule="auto"/>
        <w:rPr>
          <w:rFonts w:ascii="Lato" w:hAnsi="Lato"/>
          <w:sz w:val="24"/>
          <w:szCs w:val="20"/>
          <w:lang w:val="fr-CI"/>
        </w:rPr>
      </w:pPr>
      <w:r w:rsidRPr="00E35320">
        <w:rPr>
          <w:rFonts w:ascii="Lato" w:hAnsi="Lato"/>
          <w:sz w:val="24"/>
          <w:szCs w:val="20"/>
          <w:lang w:val="fr-CI"/>
        </w:rPr>
        <w:t xml:space="preserve">Le solde (les </w:t>
      </w:r>
      <w:r>
        <w:rPr>
          <w:rFonts w:ascii="Lato" w:hAnsi="Lato"/>
          <w:sz w:val="24"/>
          <w:szCs w:val="20"/>
          <w:lang w:val="fr-CI"/>
        </w:rPr>
        <w:t>7</w:t>
      </w:r>
      <w:r w:rsidRPr="00E35320">
        <w:rPr>
          <w:rFonts w:ascii="Lato" w:hAnsi="Lato"/>
          <w:sz w:val="24"/>
          <w:szCs w:val="20"/>
          <w:lang w:val="fr-CI"/>
        </w:rPr>
        <w:t>0% restants) pourra être reglé selon un échéancier de  36 mois à compter de la date de réservation.</w:t>
      </w:r>
    </w:p>
    <w:p w:rsidR="00263DCC" w:rsidRPr="00E35320" w:rsidRDefault="00263DCC" w:rsidP="00263DCC">
      <w:pPr>
        <w:pStyle w:val="Paragraphedeliste"/>
        <w:rPr>
          <w:rFonts w:ascii="Lato" w:hAnsi="Lato"/>
          <w:sz w:val="24"/>
          <w:szCs w:val="20"/>
          <w:lang w:val="fr-CI"/>
        </w:rPr>
      </w:pPr>
    </w:p>
    <w:p w:rsidR="00263DCC" w:rsidRPr="00E35320" w:rsidRDefault="00263DCC" w:rsidP="00263DCC">
      <w:pPr>
        <w:pStyle w:val="Paragraphedeliste"/>
        <w:numPr>
          <w:ilvl w:val="0"/>
          <w:numId w:val="1"/>
        </w:numPr>
        <w:autoSpaceDE w:val="0"/>
        <w:autoSpaceDN w:val="0"/>
        <w:spacing w:line="360" w:lineRule="auto"/>
        <w:rPr>
          <w:rFonts w:ascii="Lato" w:hAnsi="Lato"/>
          <w:sz w:val="24"/>
          <w:szCs w:val="20"/>
          <w:lang w:val="fr-CI"/>
        </w:rPr>
      </w:pPr>
      <w:r w:rsidRPr="00E35320">
        <w:rPr>
          <w:rFonts w:ascii="Lato" w:hAnsi="Lato"/>
          <w:sz w:val="24"/>
          <w:szCs w:val="20"/>
          <w:lang w:val="fr-CI"/>
        </w:rPr>
        <w:t>Le client pourra choisir les différents modes de paiements suivants :</w:t>
      </w:r>
    </w:p>
    <w:p w:rsidR="00263DCC" w:rsidRPr="00E35320" w:rsidRDefault="00263DCC" w:rsidP="00263DCC">
      <w:pPr>
        <w:pStyle w:val="Paragraphedeliste"/>
        <w:numPr>
          <w:ilvl w:val="0"/>
          <w:numId w:val="2"/>
        </w:numPr>
        <w:autoSpaceDE w:val="0"/>
        <w:autoSpaceDN w:val="0"/>
        <w:spacing w:line="360" w:lineRule="auto"/>
        <w:rPr>
          <w:rFonts w:ascii="Lato" w:hAnsi="Lato"/>
          <w:b/>
          <w:i/>
          <w:sz w:val="24"/>
          <w:szCs w:val="20"/>
          <w:lang w:val="fr-CI"/>
        </w:rPr>
      </w:pPr>
      <w:r w:rsidRPr="00E35320">
        <w:rPr>
          <w:rFonts w:ascii="Lato" w:hAnsi="Lato"/>
          <w:b/>
          <w:i/>
          <w:sz w:val="24"/>
          <w:szCs w:val="20"/>
          <w:lang w:val="fr-CI"/>
        </w:rPr>
        <w:t>Paiement direct ou cash</w:t>
      </w:r>
    </w:p>
    <w:p w:rsidR="00263DCC" w:rsidRPr="00E35320" w:rsidRDefault="00263DCC" w:rsidP="00263DCC">
      <w:pPr>
        <w:pStyle w:val="Paragraphedeliste"/>
        <w:numPr>
          <w:ilvl w:val="0"/>
          <w:numId w:val="2"/>
        </w:numPr>
        <w:autoSpaceDE w:val="0"/>
        <w:autoSpaceDN w:val="0"/>
        <w:spacing w:line="360" w:lineRule="auto"/>
        <w:rPr>
          <w:rFonts w:ascii="Lato" w:hAnsi="Lato"/>
          <w:b/>
          <w:i/>
          <w:sz w:val="24"/>
          <w:szCs w:val="20"/>
          <w:lang w:val="fr-CI"/>
        </w:rPr>
      </w:pPr>
      <w:r w:rsidRPr="00E35320">
        <w:rPr>
          <w:rFonts w:ascii="Lato" w:hAnsi="Lato"/>
          <w:b/>
          <w:i/>
          <w:sz w:val="24"/>
          <w:szCs w:val="20"/>
          <w:lang w:val="fr-CI"/>
        </w:rPr>
        <w:t>Paiement échelonné (36 mois maximum)</w:t>
      </w:r>
    </w:p>
    <w:p w:rsidR="00263DCC" w:rsidRPr="00E35320" w:rsidRDefault="00263DCC" w:rsidP="00263DCC">
      <w:pPr>
        <w:pStyle w:val="Paragraphedeliste"/>
        <w:autoSpaceDE w:val="0"/>
        <w:autoSpaceDN w:val="0"/>
        <w:spacing w:line="360" w:lineRule="auto"/>
        <w:rPr>
          <w:rFonts w:ascii="Lato" w:hAnsi="Lato"/>
          <w:sz w:val="24"/>
          <w:szCs w:val="20"/>
          <w:lang w:val="fr-CI"/>
        </w:rPr>
      </w:pPr>
    </w:p>
    <w:p w:rsidR="00263DCC" w:rsidRPr="00E35320" w:rsidRDefault="00263DCC" w:rsidP="00263DCC">
      <w:pPr>
        <w:pStyle w:val="Paragraphedeliste"/>
        <w:numPr>
          <w:ilvl w:val="0"/>
          <w:numId w:val="1"/>
        </w:numPr>
        <w:autoSpaceDE w:val="0"/>
        <w:autoSpaceDN w:val="0"/>
        <w:spacing w:line="360" w:lineRule="auto"/>
        <w:rPr>
          <w:rFonts w:ascii="Lato" w:hAnsi="Lato"/>
          <w:sz w:val="24"/>
          <w:szCs w:val="20"/>
          <w:lang w:val="fr-CI"/>
        </w:rPr>
      </w:pPr>
      <w:r w:rsidRPr="00E35320">
        <w:rPr>
          <w:rFonts w:ascii="Lato" w:hAnsi="Lato"/>
          <w:sz w:val="24"/>
          <w:szCs w:val="20"/>
          <w:lang w:val="fr-CI"/>
        </w:rPr>
        <w:t>La livraison de la maison ne se fera qu’après paiement du solde.</w:t>
      </w:r>
    </w:p>
    <w:p w:rsidR="00263DCC" w:rsidRPr="000F6EB0" w:rsidRDefault="00263DCC" w:rsidP="00263DCC">
      <w:pPr>
        <w:autoSpaceDE w:val="0"/>
        <w:autoSpaceDN w:val="0"/>
        <w:spacing w:line="360" w:lineRule="auto"/>
        <w:jc w:val="left"/>
        <w:rPr>
          <w:rFonts w:ascii="Lato" w:hAnsi="Lato"/>
          <w:b/>
          <w:color w:val="002060"/>
          <w:sz w:val="32"/>
          <w:szCs w:val="20"/>
          <w:u w:val="single"/>
          <w:lang w:val="fr-CI"/>
        </w:rPr>
      </w:pPr>
      <w:r w:rsidRPr="000F6EB0">
        <w:rPr>
          <w:rFonts w:ascii="Lato" w:hAnsi="Lato"/>
          <w:b/>
          <w:color w:val="002060"/>
          <w:sz w:val="32"/>
          <w:szCs w:val="20"/>
          <w:u w:val="single"/>
          <w:lang w:val="fr-CI"/>
        </w:rPr>
        <w:t>NB :</w:t>
      </w:r>
    </w:p>
    <w:p w:rsidR="00263DCC" w:rsidRPr="00E35320" w:rsidRDefault="00263DCC" w:rsidP="00263DCC">
      <w:pPr>
        <w:pStyle w:val="Paragraphedeliste"/>
        <w:numPr>
          <w:ilvl w:val="0"/>
          <w:numId w:val="3"/>
        </w:numPr>
        <w:autoSpaceDE w:val="0"/>
        <w:autoSpaceDN w:val="0"/>
        <w:spacing w:line="276" w:lineRule="auto"/>
        <w:rPr>
          <w:rFonts w:ascii="Lato" w:hAnsi="Lato"/>
          <w:sz w:val="24"/>
          <w:szCs w:val="20"/>
          <w:lang w:val="fr-CI"/>
        </w:rPr>
      </w:pPr>
      <w:r w:rsidRPr="00E35320">
        <w:rPr>
          <w:rFonts w:ascii="Lato" w:hAnsi="Lato"/>
          <w:sz w:val="24"/>
          <w:szCs w:val="20"/>
          <w:lang w:val="fr-CI"/>
        </w:rPr>
        <w:t>Les frais de dossier sont non remboursables en cas de désistement du client.</w:t>
      </w:r>
    </w:p>
    <w:p w:rsidR="00263DCC" w:rsidRPr="002A1CD3" w:rsidRDefault="00263DCC" w:rsidP="00263DCC">
      <w:pPr>
        <w:pStyle w:val="Paragraphedeliste"/>
        <w:autoSpaceDE w:val="0"/>
        <w:autoSpaceDN w:val="0"/>
        <w:spacing w:line="276" w:lineRule="auto"/>
        <w:rPr>
          <w:rFonts w:ascii="Lato" w:hAnsi="Lato"/>
          <w:szCs w:val="20"/>
          <w:lang w:val="fr-CI"/>
        </w:rPr>
      </w:pPr>
      <w:r w:rsidRPr="002A1CD3">
        <w:rPr>
          <w:rFonts w:ascii="Lato" w:hAnsi="Lato"/>
          <w:szCs w:val="20"/>
          <w:lang w:val="fr-CI"/>
        </w:rPr>
        <w:t xml:space="preserve"> </w:t>
      </w:r>
    </w:p>
    <w:p w:rsidR="00263DCC" w:rsidRPr="00E35320" w:rsidRDefault="00263DCC" w:rsidP="00263DCC">
      <w:pPr>
        <w:pStyle w:val="Paragraphedeliste"/>
        <w:numPr>
          <w:ilvl w:val="0"/>
          <w:numId w:val="3"/>
        </w:numPr>
        <w:autoSpaceDE w:val="0"/>
        <w:autoSpaceDN w:val="0"/>
        <w:spacing w:line="276" w:lineRule="auto"/>
        <w:rPr>
          <w:rFonts w:ascii="Lato" w:hAnsi="Lato"/>
          <w:sz w:val="24"/>
          <w:szCs w:val="20"/>
          <w:lang w:val="fr-CI"/>
        </w:rPr>
      </w:pPr>
      <w:r w:rsidRPr="00E35320">
        <w:rPr>
          <w:rFonts w:ascii="Lato" w:hAnsi="Lato"/>
          <w:sz w:val="24"/>
          <w:szCs w:val="20"/>
          <w:lang w:val="fr-CI"/>
        </w:rPr>
        <w:t xml:space="preserve">Les prix ci-dessus indiqués sont déterminés hors frais notariés et hors frais de terrain supplémentaire. Les frais notariés restent à la charge du client, il devra directement les régler au notaire indiqué. </w:t>
      </w:r>
    </w:p>
    <w:p w:rsidR="00263DCC" w:rsidRPr="002A1CD3" w:rsidRDefault="00263DCC" w:rsidP="00263DCC">
      <w:pPr>
        <w:pStyle w:val="Paragraphedeliste"/>
        <w:autoSpaceDE w:val="0"/>
        <w:autoSpaceDN w:val="0"/>
        <w:spacing w:line="276" w:lineRule="auto"/>
        <w:rPr>
          <w:rFonts w:ascii="Lato" w:hAnsi="Lato"/>
          <w:szCs w:val="20"/>
          <w:lang w:val="fr-CI"/>
        </w:rPr>
      </w:pPr>
    </w:p>
    <w:p w:rsidR="00A862B3" w:rsidRPr="00263DCC" w:rsidRDefault="00263DCC" w:rsidP="00263DCC">
      <w:pPr>
        <w:rPr>
          <w:lang w:val="fr-CI"/>
        </w:rPr>
      </w:pPr>
      <w:r w:rsidRPr="00E35320">
        <w:rPr>
          <w:rFonts w:ascii="Lato" w:hAnsi="Lato"/>
          <w:sz w:val="24"/>
          <w:szCs w:val="20"/>
          <w:lang w:val="fr-CI"/>
        </w:rPr>
        <w:t>En cas de non règlement au bout des 36 mois, une majoration sera appliquée sur le prix  total de la maison selon le coût actualisé des materiaux de construction.</w:t>
      </w:r>
    </w:p>
    <w:sectPr w:rsidR="00A862B3" w:rsidRPr="00263D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F3830"/>
    <w:multiLevelType w:val="hybridMultilevel"/>
    <w:tmpl w:val="883E5CEA"/>
    <w:lvl w:ilvl="0" w:tplc="B060D8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95B3E"/>
    <w:multiLevelType w:val="hybridMultilevel"/>
    <w:tmpl w:val="9A7E4FE4"/>
    <w:lvl w:ilvl="0" w:tplc="9A5056C8">
      <w:start w:val="1"/>
      <w:numFmt w:val="bullet"/>
      <w:lvlText w:val="-"/>
      <w:lvlJc w:val="left"/>
      <w:pPr>
        <w:ind w:left="720" w:hanging="360"/>
      </w:pPr>
      <w:rPr>
        <w:rFonts w:ascii="Lato" w:eastAsiaTheme="minorEastAsia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4694C"/>
    <w:multiLevelType w:val="hybridMultilevel"/>
    <w:tmpl w:val="92C65CDC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CC"/>
    <w:rsid w:val="00263DCC"/>
    <w:rsid w:val="00A8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A0CB"/>
  <w15:chartTrackingRefBased/>
  <w15:docId w15:val="{C678B533-2E05-4A96-B773-965D293A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DCC"/>
    <w:pPr>
      <w:widowControl w:val="0"/>
      <w:jc w:val="both"/>
    </w:pPr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2021-01-29T11:37:00Z</dcterms:created>
  <dcterms:modified xsi:type="dcterms:W3CDTF">2021-01-29T11:38:00Z</dcterms:modified>
</cp:coreProperties>
</file>