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AC7C" w14:textId="77777777" w:rsidR="00DD26D8" w:rsidRDefault="00DD26D8" w:rsidP="00DD26D8">
      <w:pPr>
        <w:jc w:val="left"/>
      </w:pPr>
      <w:bookmarkStart w:id="0" w:name="_Hlk150689924"/>
      <w:bookmarkStart w:id="1" w:name="_Toc373325092"/>
      <w:bookmarkStart w:id="2" w:name="_Toc373325711"/>
      <w:bookmarkStart w:id="3" w:name="_Toc373325898"/>
      <w:bookmarkStart w:id="4" w:name="_Toc373326052"/>
      <w:bookmarkStart w:id="5" w:name="_Toc373357644"/>
      <w:bookmarkStart w:id="6" w:name="_Toc373357783"/>
      <w:bookmarkStart w:id="7" w:name="_Toc373357949"/>
      <w:bookmarkStart w:id="8" w:name="_Toc374046423"/>
      <w:bookmarkStart w:id="9" w:name="_Toc374048219"/>
      <w:bookmarkStart w:id="10" w:name="_Toc375220150"/>
      <w:bookmarkEnd w:id="0"/>
      <w:r>
        <w:rPr>
          <w:noProof/>
        </w:rPr>
        <w:drawing>
          <wp:inline distT="0" distB="0" distL="0" distR="0" wp14:anchorId="498762CB" wp14:editId="69E5EFB1">
            <wp:extent cx="2508250" cy="523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07" cy="5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F202" w14:textId="77777777" w:rsidR="00DD26D8" w:rsidRDefault="00DD26D8" w:rsidP="00DD26D8">
      <w:pPr>
        <w:jc w:val="center"/>
      </w:pPr>
    </w:p>
    <w:p w14:paraId="5291EBDA" w14:textId="77777777" w:rsidR="00DD26D8" w:rsidRDefault="00DD26D8" w:rsidP="00DD26D8">
      <w:pPr>
        <w:jc w:val="center"/>
      </w:pPr>
    </w:p>
    <w:p w14:paraId="4311DBB8" w14:textId="77777777" w:rsidR="00DD26D8" w:rsidRDefault="00DD26D8" w:rsidP="00DD26D8">
      <w:pPr>
        <w:jc w:val="center"/>
      </w:pPr>
    </w:p>
    <w:p w14:paraId="1F26ED4D" w14:textId="77777777" w:rsidR="00DD26D8" w:rsidRDefault="00DD26D8" w:rsidP="00DD26D8">
      <w:pPr>
        <w:jc w:val="center"/>
      </w:pPr>
    </w:p>
    <w:p w14:paraId="336A5314" w14:textId="77777777" w:rsidR="00DD26D8" w:rsidRPr="00C52599" w:rsidRDefault="00DD26D8" w:rsidP="00DD26D8">
      <w:pPr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本科专业课程考试报告</w:t>
      </w:r>
    </w:p>
    <w:p w14:paraId="1101F146" w14:textId="77777777" w:rsidR="00DD26D8" w:rsidRPr="00C52599" w:rsidRDefault="00DD26D8" w:rsidP="00DD26D8">
      <w:pPr>
        <w:jc w:val="center"/>
        <w:rPr>
          <w:b/>
          <w:szCs w:val="24"/>
        </w:rPr>
      </w:pPr>
      <w:r w:rsidRPr="007D4CE6">
        <w:rPr>
          <w:b/>
          <w:szCs w:val="24"/>
        </w:rPr>
        <w:t>Course Exam Report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OF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UNDERGRADUATE</w:t>
      </w:r>
    </w:p>
    <w:p w14:paraId="1291B717" w14:textId="77777777" w:rsidR="00DD26D8" w:rsidRPr="005C19D4" w:rsidRDefault="00DD26D8" w:rsidP="00DD26D8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5C19D4">
        <w:rPr>
          <w:rFonts w:ascii="华文楷体" w:eastAsia="华文楷体" w:hAnsi="华文楷体" w:hint="eastAsia"/>
          <w:b/>
          <w:sz w:val="32"/>
          <w:szCs w:val="32"/>
        </w:rPr>
        <w:t>(20</w:t>
      </w:r>
      <w:r>
        <w:rPr>
          <w:rFonts w:ascii="华文楷体" w:eastAsia="华文楷体" w:hAnsi="华文楷体"/>
          <w:b/>
          <w:sz w:val="32"/>
          <w:szCs w:val="32"/>
        </w:rPr>
        <w:t>25</w:t>
      </w:r>
      <w:r w:rsidRPr="005C19D4">
        <w:rPr>
          <w:rFonts w:ascii="华文楷体" w:eastAsia="华文楷体" w:hAnsi="华文楷体" w:hint="eastAsia"/>
          <w:b/>
          <w:sz w:val="32"/>
          <w:szCs w:val="32"/>
        </w:rPr>
        <w:t>届)</w:t>
      </w:r>
    </w:p>
    <w:p w14:paraId="7B29AAB8" w14:textId="77777777" w:rsidR="00DD26D8" w:rsidRDefault="00DD26D8" w:rsidP="00DD26D8">
      <w:pPr>
        <w:jc w:val="center"/>
      </w:pPr>
    </w:p>
    <w:p w14:paraId="08874BFC" w14:textId="77777777" w:rsidR="00DD26D8" w:rsidRDefault="00DD26D8" w:rsidP="00DD26D8">
      <w:pPr>
        <w:jc w:val="center"/>
      </w:pPr>
    </w:p>
    <w:p w14:paraId="497AAED4" w14:textId="77777777" w:rsidR="00DD26D8" w:rsidRDefault="00DD26D8" w:rsidP="00DD26D8"/>
    <w:p w14:paraId="0291E245" w14:textId="77777777" w:rsidR="00DD26D8" w:rsidRPr="00B72831" w:rsidRDefault="00DD26D8" w:rsidP="00DD26D8">
      <w:pPr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bookmarkStart w:id="11" w:name="OLE_LINK1"/>
      <w:bookmarkStart w:id="12" w:name="OLE_LINK2"/>
      <w:r>
        <w:rPr>
          <w:rFonts w:eastAsia="华文中宋" w:hint="eastAsia"/>
          <w:b/>
          <w:color w:val="000000" w:themeColor="text1"/>
          <w:sz w:val="44"/>
          <w:szCs w:val="44"/>
        </w:rPr>
        <w:t>大数据可视化</w:t>
      </w:r>
      <w:r>
        <w:rPr>
          <w:rFonts w:eastAsia="华文中宋" w:hint="eastAsia"/>
          <w:b/>
          <w:sz w:val="44"/>
          <w:szCs w:val="44"/>
        </w:rPr>
        <w:t>考试报告</w:t>
      </w:r>
    </w:p>
    <w:p w14:paraId="31A23015" w14:textId="77777777" w:rsidR="00DD26D8" w:rsidRPr="00283FE3" w:rsidRDefault="00DD26D8" w:rsidP="00DD26D8">
      <w:pPr>
        <w:ind w:leftChars="400" w:left="960" w:rightChars="400" w:right="960"/>
        <w:jc w:val="center"/>
        <w:rPr>
          <w:rFonts w:eastAsia="华文中宋"/>
          <w:b/>
          <w:sz w:val="36"/>
          <w:szCs w:val="36"/>
        </w:rPr>
      </w:pPr>
      <w:bookmarkStart w:id="13" w:name="OLE_LINK3"/>
      <w:bookmarkEnd w:id="11"/>
      <w:bookmarkEnd w:id="12"/>
      <w:r>
        <w:rPr>
          <w:rFonts w:eastAsia="华文中宋" w:hint="eastAsia"/>
          <w:b/>
          <w:sz w:val="36"/>
          <w:szCs w:val="36"/>
        </w:rPr>
        <w:t>考试题</w:t>
      </w:r>
      <w:r>
        <w:rPr>
          <w:rFonts w:eastAsia="华文中宋"/>
          <w:b/>
          <w:sz w:val="36"/>
          <w:szCs w:val="36"/>
        </w:rPr>
        <w:t xml:space="preserve">5 </w:t>
      </w:r>
      <w:r w:rsidRPr="003444E3">
        <w:rPr>
          <w:rFonts w:eastAsia="华文中宋" w:hint="eastAsia"/>
          <w:b/>
          <w:sz w:val="36"/>
          <w:szCs w:val="36"/>
        </w:rPr>
        <w:t>财务报表分析与股价估计</w:t>
      </w:r>
    </w:p>
    <w:bookmarkEnd w:id="13"/>
    <w:p w14:paraId="361B6641" w14:textId="77777777" w:rsidR="00DD26D8" w:rsidRPr="009740F4" w:rsidRDefault="00DD26D8" w:rsidP="00DD26D8">
      <w:pPr>
        <w:jc w:val="center"/>
      </w:pPr>
    </w:p>
    <w:p w14:paraId="542EA72D" w14:textId="77777777" w:rsidR="00DD26D8" w:rsidRPr="00FE1B89" w:rsidRDefault="00DD26D8" w:rsidP="00DD26D8">
      <w:pPr>
        <w:jc w:val="center"/>
      </w:pPr>
    </w:p>
    <w:tbl>
      <w:tblPr>
        <w:tblpPr w:leftFromText="181" w:rightFromText="181" w:tblpXSpec="center" w:tblpY="907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536"/>
      </w:tblGrid>
      <w:tr w:rsidR="00DD26D8" w:rsidRPr="00B72831" w14:paraId="06D04B89" w14:textId="77777777" w:rsidTr="009B3F2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1CD041D7" w14:textId="77777777" w:rsidR="00DD26D8" w:rsidRPr="00B72831" w:rsidRDefault="00DD26D8" w:rsidP="009B3F2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proofErr w:type="gramStart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学　　</w:t>
            </w:r>
            <w:proofErr w:type="gramEnd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C7A9C6F" w14:textId="77777777" w:rsidR="00DD26D8" w:rsidRPr="00B72831" w:rsidRDefault="00DD26D8" w:rsidP="009B3F2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光电信息与计算机工程学院</w:t>
            </w:r>
          </w:p>
        </w:tc>
      </w:tr>
      <w:tr w:rsidR="00DD26D8" w:rsidRPr="00B72831" w14:paraId="2D371E2B" w14:textId="77777777" w:rsidTr="009B3F2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7FEE67F6" w14:textId="77777777" w:rsidR="00DD26D8" w:rsidRPr="00B72831" w:rsidRDefault="00DD26D8" w:rsidP="009B3F2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817341C" w14:textId="77777777" w:rsidR="00DD26D8" w:rsidRPr="00B72831" w:rsidRDefault="00DD26D8" w:rsidP="009B3F2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数据科学与大数据技术</w:t>
            </w:r>
          </w:p>
        </w:tc>
      </w:tr>
      <w:tr w:rsidR="00DD26D8" w:rsidRPr="00B72831" w14:paraId="7822AA73" w14:textId="77777777" w:rsidTr="009B3F2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368D252C" w14:textId="77777777" w:rsidR="00DD26D8" w:rsidRPr="00B72831" w:rsidRDefault="00DD26D8" w:rsidP="009B3F2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FD7E2BF" w14:textId="538BF385" w:rsidR="00DD26D8" w:rsidRPr="00B72831" w:rsidRDefault="00DD26D8" w:rsidP="009B3F2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罗震宇</w:t>
            </w:r>
          </w:p>
        </w:tc>
      </w:tr>
      <w:tr w:rsidR="00DD26D8" w:rsidRPr="00B72831" w14:paraId="41168A97" w14:textId="77777777" w:rsidTr="009B3F2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64F201A6" w14:textId="77777777" w:rsidR="00DD26D8" w:rsidRPr="00B72831" w:rsidRDefault="00DD26D8" w:rsidP="009B3F2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proofErr w:type="gramStart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学　　</w:t>
            </w:r>
            <w:proofErr w:type="gramEnd"/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3363185" w14:textId="0FE255F1" w:rsidR="00DD26D8" w:rsidRPr="00B72831" w:rsidRDefault="00DD26D8" w:rsidP="009B3F28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/>
                <w:sz w:val="28"/>
                <w:szCs w:val="24"/>
              </w:rPr>
              <w:t>2135060321</w:t>
            </w:r>
          </w:p>
        </w:tc>
      </w:tr>
      <w:tr w:rsidR="00DD26D8" w:rsidRPr="00B72831" w14:paraId="3F1538CB" w14:textId="77777777" w:rsidTr="009B3F2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18CFA371" w14:textId="77777777" w:rsidR="00DD26D8" w:rsidRPr="00B72831" w:rsidRDefault="00DD26D8" w:rsidP="009B3F2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0BDDEB2" w14:textId="77777777" w:rsidR="00DD26D8" w:rsidRPr="00B72831" w:rsidRDefault="00DD26D8" w:rsidP="009B3F28">
            <w:pPr>
              <w:jc w:val="center"/>
              <w:rPr>
                <w:rFonts w:eastAsia="华文中宋"/>
                <w:sz w:val="28"/>
                <w:szCs w:val="24"/>
              </w:rPr>
            </w:pPr>
            <w:proofErr w:type="gramStart"/>
            <w:r>
              <w:rPr>
                <w:rFonts w:eastAsia="华文中宋" w:hint="eastAsia"/>
                <w:sz w:val="28"/>
                <w:szCs w:val="24"/>
              </w:rPr>
              <w:t>艾均</w:t>
            </w:r>
            <w:proofErr w:type="gramEnd"/>
          </w:p>
        </w:tc>
      </w:tr>
      <w:tr w:rsidR="00DD26D8" w:rsidRPr="00B72831" w14:paraId="61D8AD43" w14:textId="77777777" w:rsidTr="009B3F28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2C308D67" w14:textId="77777777" w:rsidR="00DD26D8" w:rsidRPr="00B72831" w:rsidRDefault="00DD26D8" w:rsidP="009B3F28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 xml:space="preserve">成 </w:t>
            </w:r>
            <w:r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   </w:t>
            </w: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>绩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DAD7119" w14:textId="77777777" w:rsidR="00DD26D8" w:rsidRPr="00B72831" w:rsidRDefault="00DD26D8" w:rsidP="009B3F28">
            <w:pPr>
              <w:jc w:val="center"/>
              <w:rPr>
                <w:rFonts w:eastAsia="华文中宋"/>
                <w:sz w:val="28"/>
                <w:szCs w:val="24"/>
              </w:rPr>
            </w:pPr>
          </w:p>
        </w:tc>
      </w:tr>
    </w:tbl>
    <w:p w14:paraId="507BD3BB" w14:textId="77777777" w:rsidR="00DD26D8" w:rsidRDefault="00DD26D8" w:rsidP="00DD26D8">
      <w:pPr>
        <w:ind w:firstLineChars="200" w:firstLine="480"/>
      </w:pPr>
    </w:p>
    <w:p w14:paraId="39769875" w14:textId="77777777" w:rsidR="00DD26D8" w:rsidRDefault="00DD26D8" w:rsidP="00DD26D8"/>
    <w:p w14:paraId="15C38D15" w14:textId="77777777" w:rsidR="00DD26D8" w:rsidRDefault="00DD26D8" w:rsidP="00DD26D8"/>
    <w:p w14:paraId="0A082A89" w14:textId="77777777" w:rsidR="00DD26D8" w:rsidRDefault="00DD26D8" w:rsidP="00DD26D8"/>
    <w:p w14:paraId="76547D51" w14:textId="77777777" w:rsidR="00DD26D8" w:rsidRDefault="00DD26D8" w:rsidP="00DD26D8"/>
    <w:p w14:paraId="22588B6E" w14:textId="77777777" w:rsidR="00DD26D8" w:rsidRDefault="00DD26D8" w:rsidP="00DD26D8"/>
    <w:p w14:paraId="39E9D04E" w14:textId="77777777" w:rsidR="00DD26D8" w:rsidRDefault="00DD26D8" w:rsidP="00DD26D8"/>
    <w:p w14:paraId="59E915E7" w14:textId="77777777" w:rsidR="00DD26D8" w:rsidRDefault="00DD26D8" w:rsidP="00DD26D8"/>
    <w:p w14:paraId="5DFA2964" w14:textId="77777777" w:rsidR="00DD26D8" w:rsidRDefault="00DD26D8" w:rsidP="00DD26D8"/>
    <w:p w14:paraId="6112BF70" w14:textId="77777777" w:rsidR="00DD26D8" w:rsidRDefault="00DD26D8" w:rsidP="00DD26D8">
      <w:pPr>
        <w:ind w:firstLineChars="200" w:firstLine="480"/>
      </w:pPr>
    </w:p>
    <w:p w14:paraId="27470AEC" w14:textId="77777777" w:rsidR="00DD26D8" w:rsidRDefault="00DD26D8" w:rsidP="00DD26D8">
      <w:pPr>
        <w:widowControl/>
        <w:spacing w:line="240" w:lineRule="auto"/>
        <w:jc w:val="left"/>
      </w:pPr>
      <w:r>
        <w:br w:type="page"/>
      </w:r>
    </w:p>
    <w:p w14:paraId="623356FF" w14:textId="69C60C8E" w:rsidR="00DD26D8" w:rsidRDefault="00DD26D8" w:rsidP="00DD26D8">
      <w:pPr>
        <w:widowControl/>
        <w:spacing w:line="240" w:lineRule="auto"/>
        <w:jc w:val="left"/>
        <w:sectPr w:rsidR="00DD26D8" w:rsidSect="00DD26D8">
          <w:headerReference w:type="default" r:id="rId8"/>
          <w:footerReference w:type="default" r:id="rId9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2D939C9E" w14:textId="77777777" w:rsidR="00DD26D8" w:rsidRPr="007F1ED1" w:rsidRDefault="00DD26D8" w:rsidP="00DD26D8">
      <w:pPr>
        <w:sectPr w:rsidR="00DD26D8" w:rsidRPr="007F1ED1" w:rsidSect="007B40CF">
          <w:headerReference w:type="default" r:id="rId10"/>
          <w:footerReference w:type="even" r:id="rId11"/>
          <w:footerReference w:type="default" r:id="rId12"/>
          <w:type w:val="oddPage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14:paraId="12EC1665" w14:textId="77777777" w:rsidR="00DD26D8" w:rsidRDefault="00DD26D8" w:rsidP="00DD26D8">
      <w:pPr>
        <w:pStyle w:val="1"/>
        <w:spacing w:before="960" w:after="480"/>
      </w:pPr>
      <w:bookmarkStart w:id="14" w:name="_Toc373325095"/>
      <w:bookmarkStart w:id="15" w:name="_Toc373325714"/>
      <w:bookmarkStart w:id="16" w:name="_Toc373325901"/>
      <w:bookmarkStart w:id="17" w:name="_Toc373326055"/>
      <w:bookmarkStart w:id="18" w:name="_Toc373357647"/>
      <w:bookmarkStart w:id="19" w:name="_Toc373357786"/>
      <w:bookmarkStart w:id="20" w:name="_Toc373357952"/>
      <w:bookmarkStart w:id="21" w:name="_Toc374046426"/>
      <w:bookmarkStart w:id="22" w:name="_Toc374048222"/>
      <w:bookmarkStart w:id="23" w:name="_Toc375220153"/>
      <w:bookmarkStart w:id="24" w:name="_Toc154223899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D2D7586" w14:textId="51253187" w:rsidR="00573202" w:rsidRDefault="00DD26D8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r>
        <w:rPr>
          <w:b w:val="0"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b w:val="0"/>
        </w:rPr>
        <w:fldChar w:fldCharType="separate"/>
      </w:r>
      <w:hyperlink w:anchor="_Toc154223899" w:history="1">
        <w:r w:rsidR="00573202" w:rsidRPr="001661C4">
          <w:rPr>
            <w:rStyle w:val="a7"/>
          </w:rPr>
          <w:t>目</w:t>
        </w:r>
        <w:r w:rsidR="00573202" w:rsidRPr="001661C4">
          <w:rPr>
            <w:rStyle w:val="a7"/>
          </w:rPr>
          <w:t xml:space="preserve">  </w:t>
        </w:r>
        <w:r w:rsidR="00573202" w:rsidRPr="001661C4">
          <w:rPr>
            <w:rStyle w:val="a7"/>
          </w:rPr>
          <w:t>录</w:t>
        </w:r>
        <w:r w:rsidR="00573202">
          <w:rPr>
            <w:webHidden/>
          </w:rPr>
          <w:tab/>
        </w:r>
        <w:r w:rsidR="00573202">
          <w:rPr>
            <w:webHidden/>
          </w:rPr>
          <w:fldChar w:fldCharType="begin"/>
        </w:r>
        <w:r w:rsidR="00573202">
          <w:rPr>
            <w:webHidden/>
          </w:rPr>
          <w:instrText xml:space="preserve"> PAGEREF _Toc154223899 \h </w:instrText>
        </w:r>
        <w:r w:rsidR="00573202">
          <w:rPr>
            <w:webHidden/>
          </w:rPr>
        </w:r>
        <w:r w:rsidR="00573202">
          <w:rPr>
            <w:webHidden/>
          </w:rPr>
          <w:fldChar w:fldCharType="separate"/>
        </w:r>
        <w:r w:rsidR="00573202">
          <w:rPr>
            <w:webHidden/>
          </w:rPr>
          <w:t>i</w:t>
        </w:r>
        <w:r w:rsidR="00573202">
          <w:rPr>
            <w:webHidden/>
          </w:rPr>
          <w:fldChar w:fldCharType="end"/>
        </w:r>
      </w:hyperlink>
    </w:p>
    <w:p w14:paraId="74024E3F" w14:textId="2E4D04CB" w:rsidR="00573202" w:rsidRDefault="0057320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4223900" w:history="1">
        <w:r w:rsidRPr="001661C4">
          <w:rPr>
            <w:rStyle w:val="a7"/>
          </w:rPr>
          <w:t>第</w:t>
        </w:r>
        <w:r w:rsidRPr="001661C4">
          <w:rPr>
            <w:rStyle w:val="a7"/>
          </w:rPr>
          <w:t>1</w:t>
        </w:r>
        <w:r w:rsidRPr="001661C4">
          <w:rPr>
            <w:rStyle w:val="a7"/>
          </w:rPr>
          <w:t>章</w:t>
        </w:r>
        <w:r w:rsidRPr="001661C4">
          <w:rPr>
            <w:rStyle w:val="a7"/>
          </w:rPr>
          <w:t xml:space="preserve">  </w:t>
        </w:r>
        <w:r w:rsidRPr="001661C4">
          <w:rPr>
            <w:rStyle w:val="a7"/>
          </w:rPr>
          <w:t>实验概述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_Toc154223900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780CC69" w14:textId="02886DF0" w:rsidR="00573202" w:rsidRDefault="0057320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4223901" w:history="1">
        <w:r w:rsidRPr="001661C4">
          <w:rPr>
            <w:rStyle w:val="a7"/>
            <w:noProof/>
          </w:rPr>
          <w:t xml:space="preserve">1.1 </w:t>
        </w:r>
        <w:r w:rsidRPr="001661C4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_Toc154223901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2EA5FF" w14:textId="03989ECB" w:rsidR="00573202" w:rsidRDefault="0057320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4223902" w:history="1">
        <w:r w:rsidRPr="001661C4">
          <w:rPr>
            <w:rStyle w:val="a7"/>
          </w:rPr>
          <w:t>第</w:t>
        </w:r>
        <w:r w:rsidRPr="001661C4">
          <w:rPr>
            <w:rStyle w:val="a7"/>
          </w:rPr>
          <w:t>2</w:t>
        </w:r>
        <w:r w:rsidRPr="001661C4">
          <w:rPr>
            <w:rStyle w:val="a7"/>
          </w:rPr>
          <w:t>章</w:t>
        </w:r>
        <w:r w:rsidRPr="001661C4">
          <w:rPr>
            <w:rStyle w:val="a7"/>
          </w:rPr>
          <w:t xml:space="preserve">  </w:t>
        </w:r>
        <w:r w:rsidRPr="001661C4">
          <w:rPr>
            <w:rStyle w:val="a7"/>
          </w:rPr>
          <w:t>前期准备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_Toc154223902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A2F6E9" w14:textId="7C189402" w:rsidR="00573202" w:rsidRDefault="0057320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4223903" w:history="1">
        <w:r w:rsidRPr="001661C4">
          <w:rPr>
            <w:rStyle w:val="a7"/>
            <w:noProof/>
          </w:rPr>
          <w:t xml:space="preserve">2.1 </w:t>
        </w:r>
        <w:r w:rsidRPr="001661C4">
          <w:rPr>
            <w:rStyle w:val="a7"/>
            <w:noProof/>
          </w:rPr>
          <w:t>公司选择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_Toc154223903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E7293A" w14:textId="67839A90" w:rsidR="00573202" w:rsidRDefault="00573202">
      <w:pPr>
        <w:pStyle w:val="TOC3"/>
        <w:tabs>
          <w:tab w:val="right" w:leader="dot" w:pos="8777"/>
        </w:tabs>
        <w:ind w:left="96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4223904" w:history="1">
        <w:r w:rsidRPr="001661C4">
          <w:rPr>
            <w:rStyle w:val="a7"/>
            <w:noProof/>
          </w:rPr>
          <w:t xml:space="preserve">2.1.1 </w:t>
        </w:r>
        <w:r w:rsidRPr="001661C4">
          <w:rPr>
            <w:rStyle w:val="a7"/>
            <w:noProof/>
          </w:rPr>
          <w:t>公司描述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_Toc154223904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57528" w14:textId="6009899A" w:rsidR="00573202" w:rsidRDefault="00573202">
      <w:pPr>
        <w:pStyle w:val="TOC3"/>
        <w:tabs>
          <w:tab w:val="right" w:leader="dot" w:pos="8777"/>
        </w:tabs>
        <w:ind w:left="96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4223905" w:history="1">
        <w:r w:rsidRPr="001661C4">
          <w:rPr>
            <w:rStyle w:val="a7"/>
            <w:noProof/>
          </w:rPr>
          <w:t xml:space="preserve">2.1.2 </w:t>
        </w:r>
        <w:r w:rsidRPr="001661C4">
          <w:rPr>
            <w:rStyle w:val="a7"/>
            <w:noProof/>
          </w:rPr>
          <w:t>财务报表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_Toc154223905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0C4643" w14:textId="4948C602" w:rsidR="00573202" w:rsidRDefault="0057320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4223906" w:history="1">
        <w:r w:rsidRPr="001661C4">
          <w:rPr>
            <w:rStyle w:val="a7"/>
            <w:noProof/>
          </w:rPr>
          <w:t xml:space="preserve">2.2 </w:t>
        </w:r>
        <w:r w:rsidRPr="001661C4">
          <w:rPr>
            <w:rStyle w:val="a7"/>
            <w:noProof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_Toc154223906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06429" w14:textId="2B488A23" w:rsidR="00573202" w:rsidRDefault="0057320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4223907" w:history="1">
        <w:r w:rsidRPr="001661C4">
          <w:rPr>
            <w:rStyle w:val="a7"/>
          </w:rPr>
          <w:t>第</w:t>
        </w:r>
        <w:r w:rsidRPr="001661C4">
          <w:rPr>
            <w:rStyle w:val="a7"/>
          </w:rPr>
          <w:t>3</w:t>
        </w:r>
        <w:r w:rsidRPr="001661C4">
          <w:rPr>
            <w:rStyle w:val="a7"/>
          </w:rPr>
          <w:t>章</w:t>
        </w:r>
        <w:r w:rsidRPr="001661C4">
          <w:rPr>
            <w:rStyle w:val="a7"/>
          </w:rPr>
          <w:t xml:space="preserve">  </w:t>
        </w:r>
        <w:r w:rsidRPr="001661C4">
          <w:rPr>
            <w:rStyle w:val="a7"/>
          </w:rPr>
          <w:t>企业价值评估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_Toc154223907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3F616C" w14:textId="6CDDA359" w:rsidR="00573202" w:rsidRDefault="00573202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4223908" w:history="1">
        <w:r w:rsidRPr="001661C4">
          <w:rPr>
            <w:rStyle w:val="a7"/>
            <w:noProof/>
          </w:rPr>
          <w:t>3.1 DCF</w:t>
        </w:r>
        <w:r w:rsidRPr="001661C4">
          <w:rPr>
            <w:rStyle w:val="a7"/>
            <w:noProof/>
          </w:rPr>
          <w:t>估值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_Toc154223908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892EB2" w14:textId="4648F82E" w:rsidR="00573202" w:rsidRDefault="0057320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4223909" w:history="1">
        <w:r w:rsidRPr="001661C4">
          <w:rPr>
            <w:rStyle w:val="a7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_Toc154223909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5D140EC" w14:textId="423A2AEB" w:rsidR="00573202" w:rsidRDefault="00573202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4223910" w:history="1">
        <w:r w:rsidRPr="001661C4">
          <w:rPr>
            <w:rStyle w:val="a7"/>
          </w:rPr>
          <w:t>个人评价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_Toc154223910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BB63EFD" w14:textId="77B48AE7" w:rsidR="00DD26D8" w:rsidRPr="007F1ED1" w:rsidRDefault="00DD26D8" w:rsidP="00DD26D8">
      <w:pPr>
        <w:rPr>
          <w:b/>
        </w:rPr>
      </w:pPr>
      <w:r>
        <w:rPr>
          <w:b/>
        </w:rPr>
        <w:fldChar w:fldCharType="end"/>
      </w:r>
    </w:p>
    <w:p w14:paraId="099B2D0E" w14:textId="77777777" w:rsidR="00DD26D8" w:rsidRDefault="00DD26D8" w:rsidP="00DD26D8">
      <w:pPr>
        <w:widowControl/>
        <w:spacing w:line="240" w:lineRule="auto"/>
        <w:jc w:val="left"/>
      </w:pPr>
      <w:r>
        <w:br w:type="page"/>
      </w:r>
    </w:p>
    <w:p w14:paraId="211C2DF5" w14:textId="77777777" w:rsidR="00DD26D8" w:rsidRPr="007F1ED1" w:rsidRDefault="00DD26D8" w:rsidP="00DD26D8"/>
    <w:p w14:paraId="511BC880" w14:textId="77777777" w:rsidR="00DD26D8" w:rsidRPr="007F1ED1" w:rsidRDefault="00DD26D8" w:rsidP="00DD26D8">
      <w:pPr>
        <w:sectPr w:rsidR="00DD26D8" w:rsidRPr="007F1ED1" w:rsidSect="007B40CF">
          <w:footerReference w:type="even" r:id="rId13"/>
          <w:footerReference w:type="first" r:id="rId14"/>
          <w:type w:val="oddPage"/>
          <w:pgSz w:w="11906" w:h="16838" w:code="9"/>
          <w:pgMar w:top="1418" w:right="1418" w:bottom="1418" w:left="1701" w:header="851" w:footer="992" w:gutter="0"/>
          <w:pgNumType w:fmt="lowerRoman" w:start="1"/>
          <w:cols w:space="425"/>
          <w:titlePg/>
          <w:docGrid w:linePitch="312"/>
        </w:sectPr>
      </w:pPr>
    </w:p>
    <w:p w14:paraId="749DC0D6" w14:textId="34682F89" w:rsidR="00DD26D8" w:rsidRPr="00DD26D8" w:rsidRDefault="00DD26D8" w:rsidP="00DD26D8">
      <w:pPr>
        <w:pStyle w:val="1"/>
        <w:spacing w:before="960" w:after="480"/>
      </w:pPr>
      <w:bookmarkStart w:id="25" w:name="_Toc373325096"/>
      <w:bookmarkStart w:id="26" w:name="_Toc373325715"/>
      <w:bookmarkStart w:id="27" w:name="_Toc373325902"/>
      <w:bookmarkStart w:id="28" w:name="_Toc373357648"/>
      <w:bookmarkStart w:id="29" w:name="_Toc373357787"/>
      <w:bookmarkStart w:id="30" w:name="_Toc154223900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25"/>
      <w:bookmarkEnd w:id="26"/>
      <w:bookmarkEnd w:id="27"/>
      <w:bookmarkEnd w:id="28"/>
      <w:bookmarkEnd w:id="29"/>
      <w:r>
        <w:rPr>
          <w:rFonts w:hint="eastAsia"/>
        </w:rPr>
        <w:t>实验概述</w:t>
      </w:r>
      <w:bookmarkEnd w:id="30"/>
    </w:p>
    <w:p w14:paraId="62FBC49B" w14:textId="0B4460B1" w:rsidR="00DD26D8" w:rsidRDefault="00DD26D8" w:rsidP="00DD26D8">
      <w:pPr>
        <w:pStyle w:val="2"/>
        <w:spacing w:before="240" w:after="120"/>
      </w:pPr>
      <w:bookmarkStart w:id="31" w:name="_Toc373325100"/>
      <w:bookmarkStart w:id="32" w:name="_Toc373325719"/>
      <w:bookmarkStart w:id="33" w:name="_Toc373325906"/>
      <w:bookmarkStart w:id="34" w:name="_Toc373357652"/>
      <w:bookmarkStart w:id="35" w:name="_Toc373357791"/>
      <w:bookmarkStart w:id="36" w:name="_Toc154223901"/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bookmarkEnd w:id="31"/>
      <w:bookmarkEnd w:id="32"/>
      <w:bookmarkEnd w:id="33"/>
      <w:bookmarkEnd w:id="34"/>
      <w:bookmarkEnd w:id="35"/>
      <w:r>
        <w:rPr>
          <w:rFonts w:hint="eastAsia"/>
        </w:rPr>
        <w:t>实验内容</w:t>
      </w:r>
      <w:bookmarkEnd w:id="36"/>
    </w:p>
    <w:p w14:paraId="6FB259AE" w14:textId="77777777" w:rsidR="00DD26D8" w:rsidRDefault="00DD26D8" w:rsidP="00DD26D8">
      <w:pPr>
        <w:ind w:firstLine="420"/>
      </w:pPr>
      <w:r>
        <w:rPr>
          <w:rFonts w:hint="eastAsia"/>
        </w:rPr>
        <w:t>选择一家公司：从公开市场中选择一家公司，可以使用炒股软件、</w:t>
      </w:r>
      <w:r>
        <w:rPr>
          <w:rFonts w:hint="eastAsia"/>
        </w:rPr>
        <w:t xml:space="preserve"> Yahoo Finance </w:t>
      </w:r>
      <w:r>
        <w:rPr>
          <w:rFonts w:hint="eastAsia"/>
        </w:rPr>
        <w:t>或者其他财经网站获取该公司的财务报表数据（</w:t>
      </w:r>
      <w:r>
        <w:rPr>
          <w:rFonts w:hint="eastAsia"/>
        </w:rPr>
        <w:t>3-5</w:t>
      </w:r>
      <w:r>
        <w:rPr>
          <w:rFonts w:hint="eastAsia"/>
        </w:rPr>
        <w:t>年即可）；</w:t>
      </w:r>
    </w:p>
    <w:p w14:paraId="28274D37" w14:textId="77777777" w:rsidR="00DD26D8" w:rsidRDefault="00DD26D8" w:rsidP="00DD26D8">
      <w:pPr>
        <w:ind w:firstLine="420"/>
      </w:pPr>
      <w:r>
        <w:rPr>
          <w:rFonts w:hint="eastAsia"/>
        </w:rPr>
        <w:t>数据收集：使用</w:t>
      </w:r>
      <w:r>
        <w:rPr>
          <w:rFonts w:hint="eastAsia"/>
        </w:rPr>
        <w:t xml:space="preserve"> Python </w:t>
      </w:r>
      <w:r>
        <w:rPr>
          <w:rFonts w:hint="eastAsia"/>
        </w:rPr>
        <w:t>中的</w:t>
      </w:r>
      <w:r>
        <w:rPr>
          <w:rFonts w:hint="eastAsia"/>
        </w:rPr>
        <w:t xml:space="preserve"> pandas </w:t>
      </w:r>
      <w:r>
        <w:rPr>
          <w:rFonts w:hint="eastAsia"/>
        </w:rPr>
        <w:t>库导入财务报表数据，包括利润表、资产负债表和现金流量表。</w:t>
      </w:r>
    </w:p>
    <w:p w14:paraId="06CA0B21" w14:textId="77777777" w:rsidR="00DD26D8" w:rsidRDefault="00DD26D8" w:rsidP="00DD26D8">
      <w:pPr>
        <w:ind w:firstLine="420"/>
      </w:pPr>
      <w:r>
        <w:rPr>
          <w:rFonts w:hint="eastAsia"/>
        </w:rPr>
        <w:t>数据清洗：对导入的数据进行清洗，包括处理缺失值、调整数据类型等。</w:t>
      </w:r>
    </w:p>
    <w:p w14:paraId="1019A3CB" w14:textId="77777777" w:rsidR="00DD26D8" w:rsidRDefault="00DD26D8" w:rsidP="00DD26D8">
      <w:pPr>
        <w:ind w:firstLine="420"/>
      </w:pPr>
      <w:r>
        <w:rPr>
          <w:rFonts w:hint="eastAsia"/>
        </w:rPr>
        <w:t>财务指标计算（这部分数据很多时候是已知的）：</w:t>
      </w:r>
      <w:r>
        <w:rPr>
          <w:rFonts w:hint="eastAsia"/>
        </w:rPr>
        <w:t xml:space="preserve"> </w:t>
      </w:r>
      <w:r>
        <w:rPr>
          <w:rFonts w:hint="eastAsia"/>
        </w:rPr>
        <w:t>计算一些关键的财务指标，比如毛利率、净利润率、资产回报率等。这些指标可以提供关于公司盈利能力和资产利用效率的信息。</w:t>
      </w:r>
    </w:p>
    <w:p w14:paraId="42AD5C11" w14:textId="77777777" w:rsidR="00DD26D8" w:rsidRDefault="00DD26D8" w:rsidP="00DD26D8">
      <w:pPr>
        <w:ind w:firstLine="420"/>
      </w:pPr>
      <w:r>
        <w:rPr>
          <w:rFonts w:hint="eastAsia"/>
        </w:rPr>
        <w:t>成长性分析：分析公司的收入和净利润的增长趋势，以及是否有稳定的盈利模式。</w:t>
      </w:r>
    </w:p>
    <w:p w14:paraId="0FB1D04B" w14:textId="77777777" w:rsidR="00DD26D8" w:rsidRDefault="00DD26D8" w:rsidP="00DD26D8">
      <w:pPr>
        <w:ind w:firstLine="420"/>
      </w:pPr>
      <w:r>
        <w:rPr>
          <w:rFonts w:hint="eastAsia"/>
        </w:rPr>
        <w:t>偿债能力：分析公司的偿债能力，包括债务比率、流动比率等。</w:t>
      </w:r>
    </w:p>
    <w:p w14:paraId="3390981A" w14:textId="77777777" w:rsidR="00DD26D8" w:rsidRDefault="00DD26D8" w:rsidP="00DD26D8">
      <w:pPr>
        <w:ind w:firstLine="420"/>
      </w:pPr>
      <w:r>
        <w:rPr>
          <w:rFonts w:hint="eastAsia"/>
        </w:rPr>
        <w:t>现金流分析：</w:t>
      </w:r>
      <w:r>
        <w:rPr>
          <w:rFonts w:hint="eastAsia"/>
        </w:rPr>
        <w:t xml:space="preserve"> </w:t>
      </w:r>
      <w:r>
        <w:rPr>
          <w:rFonts w:hint="eastAsia"/>
        </w:rPr>
        <w:t>分析公司的现金流状况，包括经营活动、投资活动和筹资活动的现金流。</w:t>
      </w:r>
    </w:p>
    <w:p w14:paraId="4D27E287" w14:textId="77777777" w:rsidR="00DD26D8" w:rsidRDefault="00DD26D8" w:rsidP="00DD26D8">
      <w:pPr>
        <w:ind w:firstLine="420"/>
      </w:pPr>
      <w:r>
        <w:rPr>
          <w:rFonts w:hint="eastAsia"/>
        </w:rPr>
        <w:t>估值模型：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使用巴</w:t>
      </w:r>
      <w:proofErr w:type="gramEnd"/>
      <w:r>
        <w:rPr>
          <w:rFonts w:hint="eastAsia"/>
        </w:rPr>
        <w:t>菲特或其他投资大师通常使用的估值模型来估算公司的内在价值。这可以包括</w:t>
      </w:r>
      <w:r>
        <w:rPr>
          <w:rFonts w:hint="eastAsia"/>
        </w:rPr>
        <w:t xml:space="preserve"> Discounted Cash Flow (DCF) </w:t>
      </w:r>
      <w:r>
        <w:rPr>
          <w:rFonts w:hint="eastAsia"/>
        </w:rPr>
        <w:t>等方法</w:t>
      </w:r>
      <w:r>
        <w:rPr>
          <w:rFonts w:hint="eastAsia"/>
        </w:rPr>
        <w:t>(</w:t>
      </w:r>
      <w:r>
        <w:rPr>
          <w:rFonts w:hint="eastAsia"/>
        </w:rPr>
        <w:t>见附件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E2A4105" w14:textId="77777777" w:rsidR="00DD26D8" w:rsidRDefault="00DD26D8" w:rsidP="00DD26D8">
      <w:pPr>
        <w:ind w:firstLine="420"/>
      </w:pPr>
      <w:r>
        <w:rPr>
          <w:rFonts w:hint="eastAsia"/>
        </w:rPr>
        <w:t>数据可视化：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中的可视化工具（比如</w:t>
      </w:r>
      <w:r>
        <w:rPr>
          <w:rFonts w:hint="eastAsia"/>
        </w:rPr>
        <w:t xml:space="preserve"> Matplotlib </w:t>
      </w:r>
      <w:r>
        <w:rPr>
          <w:rFonts w:hint="eastAsia"/>
        </w:rPr>
        <w:t>或者</w:t>
      </w:r>
      <w:r>
        <w:rPr>
          <w:rFonts w:hint="eastAsia"/>
        </w:rPr>
        <w:t xml:space="preserve"> Seaborn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Plotly</w:t>
      </w:r>
      <w:proofErr w:type="spellEnd"/>
      <w:r>
        <w:rPr>
          <w:rFonts w:hint="eastAsia"/>
        </w:rPr>
        <w:t>）对关键指标进行可视化，以便更好地理解数据。</w:t>
      </w:r>
    </w:p>
    <w:p w14:paraId="3CBE4FDC" w14:textId="74011F1F" w:rsidR="00DD26D8" w:rsidRDefault="00DD26D8" w:rsidP="00DD26D8">
      <w:pPr>
        <w:ind w:firstLine="420"/>
      </w:pPr>
      <w:r>
        <w:rPr>
          <w:rFonts w:hint="eastAsia"/>
        </w:rPr>
        <w:t>撰写投资报告：</w:t>
      </w:r>
      <w:r>
        <w:rPr>
          <w:rFonts w:hint="eastAsia"/>
        </w:rPr>
        <w:t xml:space="preserve"> </w:t>
      </w:r>
      <w:r>
        <w:rPr>
          <w:rFonts w:hint="eastAsia"/>
        </w:rPr>
        <w:t>根据你的分析结果，撰写一份投资报告，解释公司的财务状况，说明是否值得投资，给出股票的估值或估值区间</w:t>
      </w:r>
    </w:p>
    <w:p w14:paraId="6A13D85B" w14:textId="77777777" w:rsidR="00DD26D8" w:rsidRDefault="00DD26D8">
      <w:pPr>
        <w:widowControl/>
        <w:spacing w:line="240" w:lineRule="auto"/>
        <w:jc w:val="left"/>
      </w:pPr>
      <w:r>
        <w:br w:type="page"/>
      </w:r>
    </w:p>
    <w:p w14:paraId="026190EA" w14:textId="77777777" w:rsidR="00DD26D8" w:rsidRDefault="00DD26D8" w:rsidP="00DD26D8">
      <w:pPr>
        <w:ind w:firstLine="420"/>
        <w:sectPr w:rsidR="00DD26D8" w:rsidSect="007B40CF">
          <w:headerReference w:type="even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1377DBA7" w14:textId="77777777" w:rsidR="00DD26D8" w:rsidRPr="00B3728B" w:rsidRDefault="00DD26D8" w:rsidP="00DD26D8">
      <w:pPr>
        <w:pStyle w:val="1"/>
        <w:spacing w:before="960" w:after="480"/>
      </w:pPr>
      <w:bookmarkStart w:id="37" w:name="_Toc373325113"/>
      <w:bookmarkStart w:id="38" w:name="_Toc373325732"/>
      <w:bookmarkStart w:id="39" w:name="_Toc373325919"/>
      <w:bookmarkStart w:id="40" w:name="_Toc373357665"/>
      <w:bookmarkStart w:id="41" w:name="_Toc373357804"/>
      <w:bookmarkStart w:id="42" w:name="_Toc154223902"/>
      <w:r w:rsidRPr="00566DAF">
        <w:rPr>
          <w:rFonts w:hint="eastAsia"/>
        </w:rPr>
        <w:lastRenderedPageBreak/>
        <w:t>第</w:t>
      </w:r>
      <w:r w:rsidRPr="00566DAF">
        <w:rPr>
          <w:rFonts w:hint="eastAsia"/>
        </w:rPr>
        <w:t>2</w:t>
      </w:r>
      <w:r w:rsidRPr="00566DAF">
        <w:rPr>
          <w:rFonts w:hint="eastAsia"/>
        </w:rPr>
        <w:t>章</w:t>
      </w:r>
      <w:r w:rsidRPr="00566DAF">
        <w:rPr>
          <w:rFonts w:hint="eastAsia"/>
        </w:rPr>
        <w:t xml:space="preserve">  </w:t>
      </w:r>
      <w:bookmarkEnd w:id="37"/>
      <w:bookmarkEnd w:id="38"/>
      <w:bookmarkEnd w:id="39"/>
      <w:bookmarkEnd w:id="40"/>
      <w:bookmarkEnd w:id="41"/>
      <w:r>
        <w:rPr>
          <w:rFonts w:hint="eastAsia"/>
        </w:rPr>
        <w:t>前期准备</w:t>
      </w:r>
      <w:bookmarkEnd w:id="42"/>
    </w:p>
    <w:p w14:paraId="7832494A" w14:textId="77777777" w:rsidR="00DD26D8" w:rsidRDefault="00DD26D8" w:rsidP="00DD26D8">
      <w:pPr>
        <w:pStyle w:val="2"/>
        <w:spacing w:before="240" w:after="120"/>
      </w:pPr>
      <w:bookmarkStart w:id="43" w:name="_Toc373325114"/>
      <w:bookmarkStart w:id="44" w:name="_Toc373325733"/>
      <w:bookmarkStart w:id="45" w:name="_Toc373325920"/>
      <w:bookmarkStart w:id="46" w:name="_Toc373357666"/>
      <w:bookmarkStart w:id="47" w:name="_Toc373357805"/>
      <w:bookmarkStart w:id="48" w:name="_Toc154223903"/>
      <w:r>
        <w:rPr>
          <w:rFonts w:hint="eastAsia"/>
        </w:rPr>
        <w:t xml:space="preserve">2.1 </w:t>
      </w:r>
      <w:bookmarkEnd w:id="43"/>
      <w:bookmarkEnd w:id="44"/>
      <w:bookmarkEnd w:id="45"/>
      <w:bookmarkEnd w:id="46"/>
      <w:bookmarkEnd w:id="47"/>
      <w:r>
        <w:rPr>
          <w:rFonts w:hint="eastAsia"/>
        </w:rPr>
        <w:t>公司选择</w:t>
      </w:r>
      <w:bookmarkEnd w:id="48"/>
    </w:p>
    <w:p w14:paraId="68E01847" w14:textId="77777777" w:rsidR="00DD26D8" w:rsidRDefault="00DD26D8" w:rsidP="00DD26D8">
      <w:pPr>
        <w:pStyle w:val="3"/>
        <w:spacing w:before="120"/>
      </w:pPr>
      <w:bookmarkStart w:id="49" w:name="_Toc154223904"/>
      <w:r>
        <w:t xml:space="preserve">2.1.1 </w:t>
      </w:r>
      <w:r>
        <w:rPr>
          <w:rFonts w:hint="eastAsia"/>
        </w:rPr>
        <w:t>公司描述</w:t>
      </w:r>
      <w:bookmarkEnd w:id="49"/>
    </w:p>
    <w:p w14:paraId="7D79A51A" w14:textId="78103E3F" w:rsidR="00DD26D8" w:rsidRPr="00DD26D8" w:rsidRDefault="00DD26D8" w:rsidP="00DD26D8">
      <w:pPr>
        <w:ind w:firstLine="420"/>
        <w:rPr>
          <w:b/>
          <w:bCs/>
          <w:szCs w:val="32"/>
        </w:rPr>
      </w:pPr>
      <w:r w:rsidRPr="00DD26D8">
        <w:rPr>
          <w:rFonts w:hint="eastAsia"/>
        </w:rPr>
        <w:t>贵州茅台酒股份有限公司（上交所：</w:t>
      </w:r>
      <w:r w:rsidRPr="00DD26D8">
        <w:rPr>
          <w:rFonts w:hint="eastAsia"/>
        </w:rPr>
        <w:t>600519</w:t>
      </w:r>
      <w:r w:rsidRPr="00DD26D8">
        <w:rPr>
          <w:rFonts w:hint="eastAsia"/>
        </w:rPr>
        <w:t>，简称：贵州茅台），</w:t>
      </w:r>
      <w:r w:rsidRPr="00DD26D8">
        <w:rPr>
          <w:rFonts w:hint="eastAsia"/>
        </w:rPr>
        <w:t>1999</w:t>
      </w:r>
      <w:r w:rsidRPr="00DD26D8">
        <w:rPr>
          <w:rFonts w:hint="eastAsia"/>
        </w:rPr>
        <w:t>年，由中国贵州茅台酒厂有限责任公司（控股公司）、贵州茅台酒厂技术开发公司、贵州省轻纺集体工业联社、深圳清华大学研究院、中国食品发酵工业研究所、北京糖业烟酒公司、江苏省糖烟酒总公司、上海捷强烟草糖酒（集团）公司等八家公司共同发起。</w:t>
      </w:r>
    </w:p>
    <w:p w14:paraId="62831A10" w14:textId="226AF712" w:rsidR="00DD26D8" w:rsidRPr="00DD26D8" w:rsidRDefault="00DD26D8" w:rsidP="00DD26D8">
      <w:pPr>
        <w:ind w:firstLine="420"/>
      </w:pPr>
      <w:r w:rsidRPr="00DD26D8">
        <w:rPr>
          <w:rFonts w:hint="eastAsia"/>
        </w:rPr>
        <w:t>公司主营贵州茅台酒及系列产品的生产和销售，同时进行饮料、食品、包装材料的生产和销售，防伪技术开发，信息产业相关产品的研制开发。该公司已通过股权分置改革。</w:t>
      </w:r>
      <w:r w:rsidRPr="00DD26D8">
        <w:rPr>
          <w:rFonts w:hint="eastAsia"/>
        </w:rPr>
        <w:t>2011</w:t>
      </w:r>
      <w:r w:rsidRPr="00DD26D8">
        <w:rPr>
          <w:rFonts w:hint="eastAsia"/>
        </w:rPr>
        <w:t>年，茅台集团销售收入</w:t>
      </w:r>
      <w:r w:rsidRPr="00DD26D8">
        <w:rPr>
          <w:rFonts w:hint="eastAsia"/>
        </w:rPr>
        <w:t>240</w:t>
      </w:r>
      <w:r w:rsidRPr="00DD26D8">
        <w:rPr>
          <w:rFonts w:hint="eastAsia"/>
        </w:rPr>
        <w:t>多亿元，利税</w:t>
      </w:r>
      <w:r w:rsidRPr="00DD26D8">
        <w:rPr>
          <w:rFonts w:hint="eastAsia"/>
        </w:rPr>
        <w:t>180</w:t>
      </w:r>
      <w:r w:rsidRPr="00DD26D8">
        <w:rPr>
          <w:rFonts w:hint="eastAsia"/>
        </w:rPr>
        <w:t>多亿元，上交税费</w:t>
      </w:r>
      <w:r w:rsidRPr="00DD26D8">
        <w:rPr>
          <w:rFonts w:hint="eastAsia"/>
        </w:rPr>
        <w:t>94</w:t>
      </w:r>
      <w:r w:rsidRPr="00DD26D8">
        <w:rPr>
          <w:rFonts w:hint="eastAsia"/>
        </w:rPr>
        <w:t>多亿元，在贵州财政收入中占</w:t>
      </w:r>
      <w:r w:rsidRPr="00DD26D8">
        <w:rPr>
          <w:rFonts w:hint="eastAsia"/>
        </w:rPr>
        <w:t>7%</w:t>
      </w:r>
      <w:r w:rsidRPr="00DD26D8">
        <w:rPr>
          <w:rFonts w:hint="eastAsia"/>
        </w:rPr>
        <w:t>。</w:t>
      </w:r>
      <w:r w:rsidRPr="00DD26D8">
        <w:rPr>
          <w:rFonts w:hint="eastAsia"/>
        </w:rPr>
        <w:t>2019</w:t>
      </w:r>
      <w:r w:rsidRPr="00DD26D8">
        <w:rPr>
          <w:rFonts w:hint="eastAsia"/>
        </w:rPr>
        <w:t>年和</w:t>
      </w:r>
      <w:r w:rsidRPr="00DD26D8">
        <w:rPr>
          <w:rFonts w:hint="eastAsia"/>
        </w:rPr>
        <w:t>2020</w:t>
      </w:r>
      <w:r w:rsidRPr="00DD26D8">
        <w:rPr>
          <w:rFonts w:hint="eastAsia"/>
        </w:rPr>
        <w:t>年，茅台集团分别无偿转让总股本的</w:t>
      </w:r>
      <w:r w:rsidRPr="00DD26D8">
        <w:rPr>
          <w:rFonts w:hint="eastAsia"/>
        </w:rPr>
        <w:t>4%</w:t>
      </w:r>
      <w:r w:rsidRPr="00DD26D8">
        <w:rPr>
          <w:rFonts w:hint="eastAsia"/>
        </w:rPr>
        <w:t>予贵州省国有资本运营有限责任公司。</w:t>
      </w:r>
    </w:p>
    <w:p w14:paraId="774282C1" w14:textId="77777777" w:rsidR="00DD26D8" w:rsidRDefault="00DD26D8" w:rsidP="00DD26D8">
      <w:pPr>
        <w:ind w:firstLine="420"/>
        <w:rPr>
          <w:b/>
          <w:bCs/>
        </w:rPr>
      </w:pPr>
      <w:r w:rsidRPr="00DD26D8">
        <w:rPr>
          <w:rFonts w:hint="eastAsia"/>
        </w:rPr>
        <w:t>2021</w:t>
      </w:r>
      <w:r w:rsidRPr="00DD26D8">
        <w:rPr>
          <w:rFonts w:hint="eastAsia"/>
        </w:rPr>
        <w:t>年，贵州茅台在</w:t>
      </w:r>
      <w:r w:rsidRPr="00DD26D8">
        <w:rPr>
          <w:rFonts w:hint="eastAsia"/>
        </w:rPr>
        <w:t>FBIF</w:t>
      </w:r>
      <w:r w:rsidRPr="00DD26D8">
        <w:rPr>
          <w:rFonts w:hint="eastAsia"/>
        </w:rPr>
        <w:t>食品饮料创新发布的中国食品饮料百强榜中位列第二</w:t>
      </w:r>
    </w:p>
    <w:p w14:paraId="3E991DD0" w14:textId="4BBB248C" w:rsidR="00DD26D8" w:rsidRDefault="00DD26D8" w:rsidP="00CD1FF2">
      <w:pPr>
        <w:pStyle w:val="3"/>
        <w:spacing w:before="120"/>
      </w:pPr>
      <w:bookmarkStart w:id="50" w:name="_Toc154223905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财务报表</w:t>
      </w:r>
      <w:bookmarkEnd w:id="50"/>
    </w:p>
    <w:p w14:paraId="5777261F" w14:textId="1E643B75" w:rsidR="00DD26D8" w:rsidRDefault="00CD1FF2" w:rsidP="00DD26D8">
      <w:pPr>
        <w:ind w:right="110"/>
        <w:jc w:val="left"/>
        <w:rPr>
          <w:sz w:val="22"/>
          <w:szCs w:val="21"/>
        </w:rPr>
      </w:pPr>
      <w:r>
        <w:rPr>
          <w:rFonts w:hint="eastAsia"/>
          <w:sz w:val="22"/>
          <w:szCs w:val="21"/>
        </w:rPr>
        <w:t>贵州茅台部分财报数据展示如下。</w:t>
      </w:r>
    </w:p>
    <w:tbl>
      <w:tblPr>
        <w:tblW w:w="10065" w:type="dxa"/>
        <w:tblInd w:w="-575" w:type="dxa"/>
        <w:tblBorders>
          <w:top w:val="single" w:sz="6" w:space="0" w:color="D7D7D7"/>
          <w:left w:val="single" w:sz="6" w:space="0" w:color="D7D7D7"/>
          <w:bottom w:val="single" w:sz="6" w:space="0" w:color="D7D7D7"/>
          <w:right w:val="single" w:sz="6" w:space="0" w:color="D7D7D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134"/>
        <w:gridCol w:w="1134"/>
        <w:gridCol w:w="1134"/>
        <w:gridCol w:w="1134"/>
        <w:gridCol w:w="1276"/>
      </w:tblGrid>
      <w:tr w:rsidR="00CD1FF2" w:rsidRPr="00CD1FF2" w14:paraId="4DD8A524" w14:textId="77777777" w:rsidTr="00CD1FF2">
        <w:tc>
          <w:tcPr>
            <w:tcW w:w="1985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7E7E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0E66CA" w14:textId="77777777" w:rsidR="00CD1FF2" w:rsidRPr="00CD1FF2" w:rsidRDefault="00CD1FF2" w:rsidP="009B3F28">
            <w:pPr>
              <w:widowControl/>
              <w:spacing w:line="315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b/>
                <w:bCs/>
                <w:color w:val="333333"/>
                <w:kern w:val="0"/>
                <w:sz w:val="21"/>
                <w:szCs w:val="21"/>
              </w:rPr>
              <w:t>每股指标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7E7E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A0151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b/>
                <w:bCs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b/>
                <w:bCs/>
                <w:color w:val="333333"/>
                <w:kern w:val="0"/>
                <w:sz w:val="21"/>
                <w:szCs w:val="21"/>
              </w:rPr>
              <w:t>22-12-31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7E7E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1412B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b/>
                <w:bCs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b/>
                <w:bCs/>
                <w:color w:val="333333"/>
                <w:kern w:val="0"/>
                <w:sz w:val="21"/>
                <w:szCs w:val="21"/>
              </w:rPr>
              <w:t>21-12-31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7E7E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DBFB3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b/>
                <w:bCs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b/>
                <w:bCs/>
                <w:color w:val="333333"/>
                <w:kern w:val="0"/>
                <w:sz w:val="21"/>
                <w:szCs w:val="21"/>
              </w:rPr>
              <w:t>20-12-31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7E7E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800EE5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b/>
                <w:bCs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b/>
                <w:bCs/>
                <w:color w:val="333333"/>
                <w:kern w:val="0"/>
                <w:sz w:val="21"/>
                <w:szCs w:val="21"/>
              </w:rPr>
              <w:t>19-12-31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7E7E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C82B00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b/>
                <w:bCs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b/>
                <w:bCs/>
                <w:color w:val="333333"/>
                <w:kern w:val="0"/>
                <w:sz w:val="21"/>
                <w:szCs w:val="21"/>
              </w:rPr>
              <w:t>18-12-31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7E7E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268799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b/>
                <w:bCs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b/>
                <w:bCs/>
                <w:color w:val="333333"/>
                <w:kern w:val="0"/>
                <w:sz w:val="21"/>
                <w:szCs w:val="21"/>
              </w:rPr>
              <w:t>17-12-31</w:t>
            </w:r>
          </w:p>
        </w:tc>
        <w:tc>
          <w:tcPr>
            <w:tcW w:w="1276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E7E7E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CE84D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b/>
                <w:bCs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b/>
                <w:bCs/>
                <w:color w:val="333333"/>
                <w:kern w:val="0"/>
                <w:sz w:val="21"/>
                <w:szCs w:val="21"/>
              </w:rPr>
              <w:t>16-12-31</w:t>
            </w:r>
          </w:p>
        </w:tc>
      </w:tr>
      <w:tr w:rsidR="00CD1FF2" w:rsidRPr="00CD1FF2" w14:paraId="5F065D05" w14:textId="77777777" w:rsidTr="00CD1FF2">
        <w:tc>
          <w:tcPr>
            <w:tcW w:w="1985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4447BF" w14:textId="77777777" w:rsidR="00CD1FF2" w:rsidRPr="00CD1FF2" w:rsidRDefault="00CD1FF2" w:rsidP="009B3F28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  <w:t>基本每股收益(元)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8132EB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49.9300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B349E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41.7600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E63AB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37.1700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F281E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32.8000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E01E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28.0200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B3742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21.5600</w:t>
            </w:r>
          </w:p>
        </w:tc>
        <w:tc>
          <w:tcPr>
            <w:tcW w:w="1276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93B7FF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13.3100</w:t>
            </w:r>
          </w:p>
        </w:tc>
      </w:tr>
      <w:tr w:rsidR="00CD1FF2" w:rsidRPr="00CD1FF2" w14:paraId="692C7FDC" w14:textId="77777777" w:rsidTr="00CD1FF2">
        <w:tc>
          <w:tcPr>
            <w:tcW w:w="1985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2B692D" w14:textId="77777777" w:rsidR="00CD1FF2" w:rsidRPr="00CD1FF2" w:rsidRDefault="00CD1FF2" w:rsidP="009B3F28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D1FF2"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  <w:t>扣非每股</w:t>
            </w:r>
            <w:proofErr w:type="gramEnd"/>
            <w:r w:rsidRPr="00CD1FF2"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  <w:t>收益(元)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6EAD7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49.9900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01074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41.8600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80AA85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37.4300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1AA309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32.9600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ED474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28.3300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D3E1FC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21.6700</w:t>
            </w:r>
          </w:p>
        </w:tc>
        <w:tc>
          <w:tcPr>
            <w:tcW w:w="1276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9131B2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13.5000</w:t>
            </w:r>
          </w:p>
        </w:tc>
      </w:tr>
      <w:tr w:rsidR="00CD1FF2" w:rsidRPr="00CD1FF2" w14:paraId="17C56B15" w14:textId="77777777" w:rsidTr="00CD1FF2">
        <w:tc>
          <w:tcPr>
            <w:tcW w:w="1985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32010C" w14:textId="77777777" w:rsidR="00CD1FF2" w:rsidRPr="00CD1FF2" w:rsidRDefault="00CD1FF2" w:rsidP="009B3F28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  <w:t>稀释每股收益(元)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5F194D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49.9300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5A8732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41.7600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017C7A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37.1700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1432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32.8000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49886F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28.0200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3C153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21.5600</w:t>
            </w:r>
          </w:p>
        </w:tc>
        <w:tc>
          <w:tcPr>
            <w:tcW w:w="1276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1C4D11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13.3100</w:t>
            </w:r>
          </w:p>
        </w:tc>
      </w:tr>
      <w:tr w:rsidR="00CD1FF2" w:rsidRPr="00CD1FF2" w14:paraId="1FDC85F4" w14:textId="77777777" w:rsidTr="00CD1FF2">
        <w:tc>
          <w:tcPr>
            <w:tcW w:w="1985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A9B94F" w14:textId="77777777" w:rsidR="00CD1FF2" w:rsidRPr="00CD1FF2" w:rsidRDefault="00CD1FF2" w:rsidP="009B3F28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  <w:t>每股净资产(元)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36B36A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157.2258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8DA75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150.8834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8EF5F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128.4214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E3EFA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108.2714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6D6881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89.8255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EF582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72.8003</w:t>
            </w:r>
          </w:p>
        </w:tc>
        <w:tc>
          <w:tcPr>
            <w:tcW w:w="1276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2D2B22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58.0276</w:t>
            </w:r>
          </w:p>
        </w:tc>
      </w:tr>
      <w:tr w:rsidR="00CD1FF2" w:rsidRPr="00CD1FF2" w14:paraId="3B17825E" w14:textId="77777777" w:rsidTr="00CD1FF2">
        <w:tc>
          <w:tcPr>
            <w:tcW w:w="1985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0BA9DF" w14:textId="77777777" w:rsidR="00CD1FF2" w:rsidRPr="00CD1FF2" w:rsidRDefault="00CD1FF2" w:rsidP="009B3F28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  <w:t>每股公积金(元)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80ADBF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1.0945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965B2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1.0945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335D5A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1.0945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12768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1.0945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A16EDC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1.0945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26E2F5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1.0945</w:t>
            </w:r>
          </w:p>
        </w:tc>
        <w:tc>
          <w:tcPr>
            <w:tcW w:w="1276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DDC691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1.0945</w:t>
            </w:r>
          </w:p>
        </w:tc>
      </w:tr>
      <w:tr w:rsidR="00CD1FF2" w:rsidRPr="00CD1FF2" w14:paraId="07524013" w14:textId="77777777" w:rsidTr="00CD1FF2">
        <w:tc>
          <w:tcPr>
            <w:tcW w:w="1985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F113E3" w14:textId="77777777" w:rsidR="00CD1FF2" w:rsidRPr="00CD1FF2" w:rsidRDefault="00CD1FF2" w:rsidP="009B3F28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  <w:t>每股未分配利润(元)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94A6BC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128.4049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CD47C7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127.9391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749BA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109.5324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E4336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92.2564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9486D5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76.4067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054476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63.6932</w:t>
            </w:r>
          </w:p>
        </w:tc>
        <w:tc>
          <w:tcPr>
            <w:tcW w:w="1276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204DB8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49.9267</w:t>
            </w:r>
          </w:p>
        </w:tc>
      </w:tr>
      <w:tr w:rsidR="00CD1FF2" w:rsidRPr="00CD1FF2" w14:paraId="38F6EF88" w14:textId="77777777" w:rsidTr="00CD1FF2">
        <w:tc>
          <w:tcPr>
            <w:tcW w:w="1985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70BD2A" w14:textId="77777777" w:rsidR="00CD1FF2" w:rsidRPr="00CD1FF2" w:rsidRDefault="00CD1FF2" w:rsidP="009B3F28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  <w:t>每股经营现金流(元)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15F129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29.2140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1AA4D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50.9702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7F4848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41.1313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04B2BF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35.9900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4A12E4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32.9448</w:t>
            </w:r>
          </w:p>
        </w:tc>
        <w:tc>
          <w:tcPr>
            <w:tcW w:w="1134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395F0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17.6350</w:t>
            </w:r>
          </w:p>
        </w:tc>
        <w:tc>
          <w:tcPr>
            <w:tcW w:w="1276" w:type="dxa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5BDB40" w14:textId="77777777" w:rsidR="00CD1FF2" w:rsidRPr="00CD1FF2" w:rsidRDefault="00CD1FF2" w:rsidP="009B3F28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505050"/>
                <w:kern w:val="0"/>
                <w:sz w:val="21"/>
                <w:szCs w:val="21"/>
              </w:rPr>
            </w:pPr>
            <w:r w:rsidRPr="00CD1FF2">
              <w:rPr>
                <w:rFonts w:ascii="宋体" w:hAnsi="宋体" w:cs="宋体" w:hint="eastAsia"/>
                <w:color w:val="505050"/>
                <w:kern w:val="0"/>
                <w:sz w:val="21"/>
                <w:szCs w:val="21"/>
              </w:rPr>
              <w:t>29.8132</w:t>
            </w:r>
          </w:p>
        </w:tc>
      </w:tr>
    </w:tbl>
    <w:p w14:paraId="10FE4A7B" w14:textId="77777777" w:rsidR="00DD26D8" w:rsidRDefault="00DD26D8" w:rsidP="00DD26D8">
      <w:pPr>
        <w:ind w:right="110"/>
        <w:jc w:val="left"/>
        <w:rPr>
          <w:sz w:val="22"/>
          <w:szCs w:val="21"/>
        </w:rPr>
        <w:sectPr w:rsidR="00DD26D8" w:rsidSect="007B40CF"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067C14A6" w14:textId="77777777" w:rsidR="00DD26D8" w:rsidRDefault="00DD26D8" w:rsidP="00DD26D8">
      <w:pPr>
        <w:pStyle w:val="2"/>
        <w:spacing w:before="240" w:after="120"/>
      </w:pPr>
      <w:bookmarkStart w:id="51" w:name="_Toc373325121"/>
      <w:bookmarkStart w:id="52" w:name="_Toc373325740"/>
      <w:bookmarkStart w:id="53" w:name="_Toc373325927"/>
      <w:bookmarkStart w:id="54" w:name="_Toc373357673"/>
      <w:bookmarkStart w:id="55" w:name="_Toc373357812"/>
      <w:bookmarkStart w:id="56" w:name="_Toc154223906"/>
      <w:r>
        <w:rPr>
          <w:rFonts w:hint="eastAsia"/>
        </w:rPr>
        <w:lastRenderedPageBreak/>
        <w:t xml:space="preserve">2.2 </w:t>
      </w:r>
      <w:bookmarkEnd w:id="51"/>
      <w:bookmarkEnd w:id="52"/>
      <w:bookmarkEnd w:id="53"/>
      <w:bookmarkEnd w:id="54"/>
      <w:bookmarkEnd w:id="55"/>
      <w:r>
        <w:rPr>
          <w:rFonts w:hint="eastAsia"/>
        </w:rPr>
        <w:t>数据分析</w:t>
      </w:r>
      <w:bookmarkEnd w:id="56"/>
    </w:p>
    <w:p w14:paraId="6130CE1D" w14:textId="06F32054" w:rsidR="00DD26D8" w:rsidRDefault="00DD26D8" w:rsidP="00DD26D8">
      <w:r>
        <w:tab/>
      </w:r>
      <w:bookmarkStart w:id="57" w:name="_Toc373325124"/>
      <w:bookmarkStart w:id="58" w:name="_Toc373325743"/>
      <w:bookmarkStart w:id="59" w:name="_Toc373325930"/>
      <w:bookmarkStart w:id="60" w:name="_Toc373357676"/>
      <w:bookmarkStart w:id="61" w:name="_Toc373357815"/>
      <w:r w:rsidR="00D42B08">
        <w:rPr>
          <w:rFonts w:hint="eastAsia"/>
        </w:rPr>
        <w:t>对于贵州茅台近十年财报数据进行可视化后结果如下。</w:t>
      </w:r>
    </w:p>
    <w:p w14:paraId="02A273D4" w14:textId="77777777" w:rsidR="00D42B08" w:rsidRDefault="00D42B08" w:rsidP="00D42B08">
      <w:pPr>
        <w:keepNext/>
        <w:jc w:val="center"/>
      </w:pPr>
      <w:r w:rsidRPr="00D42B08">
        <w:rPr>
          <w:sz w:val="22"/>
          <w:szCs w:val="21"/>
        </w:rPr>
        <w:drawing>
          <wp:inline distT="0" distB="0" distL="0" distR="0" wp14:anchorId="06F50366" wp14:editId="066ACB90">
            <wp:extent cx="5579745" cy="2117090"/>
            <wp:effectExtent l="0" t="0" r="1905" b="0"/>
            <wp:docPr id="55879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955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A1A4" w14:textId="67DFA743" w:rsidR="00DD26D8" w:rsidRDefault="00D42B08" w:rsidP="00D42B08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0E90">
        <w:rPr>
          <w:noProof/>
        </w:rPr>
        <w:t>1</w:t>
      </w:r>
      <w:r>
        <w:fldChar w:fldCharType="end"/>
      </w:r>
      <w:r>
        <w:rPr>
          <w:rFonts w:hint="eastAsia"/>
        </w:rPr>
        <w:t>毛利率和净利率折线图</w:t>
      </w:r>
    </w:p>
    <w:p w14:paraId="7290AA87" w14:textId="77777777" w:rsidR="00D42B08" w:rsidRDefault="00D42B08" w:rsidP="00D42B08">
      <w:pPr>
        <w:keepNext/>
      </w:pPr>
      <w:r w:rsidRPr="00D42B08">
        <w:drawing>
          <wp:inline distT="0" distB="0" distL="0" distR="0" wp14:anchorId="01889ED8" wp14:editId="5BDF99F4">
            <wp:extent cx="5579745" cy="2270760"/>
            <wp:effectExtent l="0" t="0" r="1905" b="0"/>
            <wp:docPr id="561115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154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FAEC" w14:textId="5377C966" w:rsidR="00D42B08" w:rsidRDefault="00D42B08" w:rsidP="00D42B08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0E90">
        <w:rPr>
          <w:noProof/>
        </w:rPr>
        <w:t>2</w:t>
      </w:r>
      <w:r>
        <w:fldChar w:fldCharType="end"/>
      </w:r>
      <w:r>
        <w:rPr>
          <w:rFonts w:hint="eastAsia"/>
        </w:rPr>
        <w:t>总资产报酬率折现图</w:t>
      </w:r>
    </w:p>
    <w:p w14:paraId="3C6B95BA" w14:textId="77777777" w:rsidR="00D42B08" w:rsidRDefault="00D42B08" w:rsidP="00D42B08">
      <w:pPr>
        <w:keepNext/>
        <w:jc w:val="center"/>
      </w:pPr>
      <w:r w:rsidRPr="00D42B08">
        <w:drawing>
          <wp:inline distT="0" distB="0" distL="0" distR="0" wp14:anchorId="7B77C879" wp14:editId="320D101C">
            <wp:extent cx="5579745" cy="2106295"/>
            <wp:effectExtent l="0" t="0" r="1905" b="8255"/>
            <wp:docPr id="714318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18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8724" w14:textId="7AB1A62F" w:rsidR="00D42B08" w:rsidRPr="00D42B08" w:rsidRDefault="00D42B08" w:rsidP="00D42B08">
      <w:pPr>
        <w:pStyle w:val="a9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0E90">
        <w:rPr>
          <w:noProof/>
        </w:rPr>
        <w:t>3</w:t>
      </w:r>
      <w:r>
        <w:fldChar w:fldCharType="end"/>
      </w:r>
      <w:r>
        <w:rPr>
          <w:rFonts w:hint="eastAsia"/>
        </w:rPr>
        <w:t>收入和净利润条形图</w:t>
      </w:r>
    </w:p>
    <w:p w14:paraId="23D9D2E4" w14:textId="77777777" w:rsidR="00DD26D8" w:rsidRPr="001353E0" w:rsidRDefault="00DD26D8" w:rsidP="00DD26D8">
      <w:pPr>
        <w:rPr>
          <w:sz w:val="22"/>
          <w:szCs w:val="21"/>
        </w:rPr>
      </w:pPr>
    </w:p>
    <w:p w14:paraId="0B6099F9" w14:textId="77777777" w:rsidR="003E0E90" w:rsidRDefault="003E0E90" w:rsidP="003E0E90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</w:pPr>
      <w:r w:rsidRPr="003E0E90">
        <w:lastRenderedPageBreak/>
        <w:drawing>
          <wp:inline distT="0" distB="0" distL="0" distR="0" wp14:anchorId="79093500" wp14:editId="02B68587">
            <wp:extent cx="5579745" cy="2307590"/>
            <wp:effectExtent l="0" t="0" r="1905" b="0"/>
            <wp:docPr id="510366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667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251E" w14:textId="1F228B1D" w:rsidR="003E0E90" w:rsidRDefault="003E0E90" w:rsidP="003E0E90">
      <w:pPr>
        <w:pStyle w:val="a9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债务比率和流动比率折线图</w:t>
      </w:r>
    </w:p>
    <w:p w14:paraId="220FEFF6" w14:textId="77777777" w:rsidR="003E0E90" w:rsidRDefault="003E0E90" w:rsidP="003E0E90">
      <w:pPr>
        <w:keepNext/>
      </w:pPr>
      <w:r w:rsidRPr="003E0E90">
        <w:drawing>
          <wp:inline distT="0" distB="0" distL="0" distR="0" wp14:anchorId="288DEA59" wp14:editId="21F958D2">
            <wp:extent cx="5579745" cy="1867535"/>
            <wp:effectExtent l="0" t="0" r="1905" b="0"/>
            <wp:docPr id="210678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88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5BC" w14:textId="77777777" w:rsidR="003E0E90" w:rsidRDefault="003E0E90" w:rsidP="003E0E90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现金流量折线图</w:t>
      </w:r>
    </w:p>
    <w:p w14:paraId="39491AE4" w14:textId="77777777" w:rsidR="003E0E90" w:rsidRDefault="003E0E90" w:rsidP="003E0E90"/>
    <w:p w14:paraId="78E24447" w14:textId="07C92F75" w:rsidR="003E0E90" w:rsidRPr="003E0E90" w:rsidRDefault="003E0E90" w:rsidP="003E0E90">
      <w:pPr>
        <w:rPr>
          <w:rFonts w:hint="eastAsia"/>
        </w:rPr>
        <w:sectPr w:rsidR="003E0E90" w:rsidRPr="003E0E90" w:rsidSect="007B40CF"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  <w:r>
        <w:tab/>
      </w:r>
      <w:r>
        <w:rPr>
          <w:rFonts w:hint="eastAsia"/>
        </w:rPr>
        <w:t>由图一可以看出，茅台公司的毛利率和净利率一直都比较稳定，并且维持在一个相当高的水准，说明茅台的产品非常具有市场竞争力，深受消费者的好评，才能一直维持这个溢价。由总资产报酬率可以看出，茅台在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年之前</w:t>
      </w:r>
      <w:r>
        <w:rPr>
          <w:rFonts w:hint="eastAsia"/>
        </w:rPr>
        <w:t>ROA</w:t>
      </w:r>
      <w:r>
        <w:rPr>
          <w:rFonts w:hint="eastAsia"/>
        </w:rPr>
        <w:t>呈现下降趋势，后来才转为稳定，说明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年之前茅台可能遇到一些经营上的问题，但是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年解决了这个问题，重</w:t>
      </w:r>
      <w:proofErr w:type="gramStart"/>
      <w:r>
        <w:rPr>
          <w:rFonts w:hint="eastAsia"/>
        </w:rPr>
        <w:t>回稳定</w:t>
      </w:r>
      <w:proofErr w:type="gramEnd"/>
      <w:r>
        <w:rPr>
          <w:rFonts w:hint="eastAsia"/>
        </w:rPr>
        <w:t>增长道路。从图三可以看出茅台收入一直在增长，速度还比较快。图四可以看出茅台拥有非常稳健的财务体系，有着非常稳定且非常高的现金储备和较低的债务水平，结合总体增长的趋势，可以认为茅台的增长是非常高质量的增长，可能具有较好的持续性。在图五中可以看出，茅台经营现金流在非常稳定的增长，并且投资现金</w:t>
      </w:r>
      <w:proofErr w:type="gramStart"/>
      <w:r>
        <w:rPr>
          <w:rFonts w:hint="eastAsia"/>
        </w:rPr>
        <w:t>流维持</w:t>
      </w:r>
      <w:proofErr w:type="gramEnd"/>
      <w:r>
        <w:rPr>
          <w:rFonts w:hint="eastAsia"/>
        </w:rPr>
        <w:t>在较低的水平，可以看出来茅台已经过了需要大规模投入的阶段，现在处于稳定盈利的模式，拥有持续经营的能力。同时在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年第一次遇到筹资现金流大于经营现金流的情况，结合当年经济形势，可以发现在疫情情况下茅台也会受到业绩方面的影响，后续可能会出台相关的</w:t>
      </w:r>
      <w:r w:rsidR="00573202">
        <w:rPr>
          <w:rFonts w:hint="eastAsia"/>
        </w:rPr>
        <w:t>政策来提振业绩，例如涨价。</w:t>
      </w:r>
    </w:p>
    <w:p w14:paraId="1B626137" w14:textId="628902D7" w:rsidR="00DD26D8" w:rsidRPr="009A4504" w:rsidRDefault="00DD26D8" w:rsidP="00DD26D8">
      <w:pPr>
        <w:pStyle w:val="1"/>
        <w:spacing w:before="960" w:after="480"/>
      </w:pPr>
      <w:bookmarkStart w:id="62" w:name="_Toc154223907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="00573202">
        <w:rPr>
          <w:rFonts w:hint="eastAsia"/>
        </w:rPr>
        <w:t>企业价值评估</w:t>
      </w:r>
      <w:bookmarkEnd w:id="62"/>
    </w:p>
    <w:p w14:paraId="2838338E" w14:textId="77777777" w:rsidR="00DD26D8" w:rsidRDefault="00DD26D8" w:rsidP="00DD26D8">
      <w:pPr>
        <w:pStyle w:val="2"/>
        <w:spacing w:before="240" w:after="120"/>
      </w:pPr>
      <w:bookmarkStart w:id="63" w:name="_Toc154223908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bookmarkEnd w:id="57"/>
      <w:bookmarkEnd w:id="58"/>
      <w:bookmarkEnd w:id="59"/>
      <w:bookmarkEnd w:id="60"/>
      <w:bookmarkEnd w:id="61"/>
      <w:r>
        <w:rPr>
          <w:rFonts w:hint="eastAsia"/>
        </w:rPr>
        <w:t>DCF</w:t>
      </w:r>
      <w:r>
        <w:rPr>
          <w:rFonts w:hint="eastAsia"/>
        </w:rPr>
        <w:t>估值</w:t>
      </w:r>
      <w:bookmarkEnd w:id="63"/>
    </w:p>
    <w:p w14:paraId="3E400D33" w14:textId="2B300FF6" w:rsidR="00573202" w:rsidRDefault="00573202" w:rsidP="00573202">
      <w:r>
        <w:tab/>
      </w:r>
      <w:r w:rsidRPr="00573202">
        <w:rPr>
          <w:rFonts w:hint="eastAsia"/>
        </w:rPr>
        <w:t>DCF</w:t>
      </w:r>
      <w:r w:rsidRPr="00573202">
        <w:rPr>
          <w:rFonts w:hint="eastAsia"/>
        </w:rPr>
        <w:t>属于绝对估值法，是将一项资产在未来所能产生的自由现金流（通常要预测</w:t>
      </w:r>
      <w:r w:rsidRPr="00573202">
        <w:rPr>
          <w:rFonts w:hint="eastAsia"/>
        </w:rPr>
        <w:t>15-30</w:t>
      </w:r>
      <w:r w:rsidRPr="00573202">
        <w:rPr>
          <w:rFonts w:hint="eastAsia"/>
        </w:rPr>
        <w:t>年）根据合理的折现率（</w:t>
      </w:r>
      <w:r w:rsidRPr="00573202">
        <w:rPr>
          <w:rFonts w:hint="eastAsia"/>
        </w:rPr>
        <w:t>WACC</w:t>
      </w:r>
      <w:r w:rsidRPr="00573202">
        <w:rPr>
          <w:rFonts w:hint="eastAsia"/>
        </w:rPr>
        <w:t>）折现，得到该项资产的价值，如果该折现后的价值高于资产当前价格，则有利可图，可以买入，如果低于当前价格，则说明当前价格高估，需回避或卖出。</w:t>
      </w:r>
      <w:r w:rsidRPr="00573202">
        <w:rPr>
          <w:rFonts w:hint="eastAsia"/>
        </w:rPr>
        <w:t>DCF</w:t>
      </w:r>
      <w:r w:rsidRPr="00573202">
        <w:rPr>
          <w:rFonts w:hint="eastAsia"/>
        </w:rPr>
        <w:t>估值法适用于：那些股利不稳定，但现金流增长相对稳定的公司。那些</w:t>
      </w:r>
      <w:proofErr w:type="gramStart"/>
      <w:r w:rsidRPr="00573202">
        <w:rPr>
          <w:rFonts w:hint="eastAsia"/>
        </w:rPr>
        <w:t>现金流能较好</w:t>
      </w:r>
      <w:proofErr w:type="gramEnd"/>
      <w:r w:rsidRPr="00573202">
        <w:rPr>
          <w:rFonts w:hint="eastAsia"/>
        </w:rPr>
        <w:t>反映公司盈利能力的公司。</w:t>
      </w:r>
      <w:r w:rsidRPr="00573202">
        <w:rPr>
          <w:rFonts w:hint="eastAsia"/>
        </w:rPr>
        <w:t xml:space="preserve"> </w:t>
      </w:r>
      <w:r w:rsidRPr="00573202">
        <w:rPr>
          <w:rFonts w:hint="eastAsia"/>
        </w:rPr>
        <w:t>其中</w:t>
      </w:r>
      <w:r w:rsidRPr="00573202">
        <w:rPr>
          <w:rFonts w:hint="eastAsia"/>
        </w:rPr>
        <w:t>V</w:t>
      </w:r>
      <w:r w:rsidRPr="00573202">
        <w:rPr>
          <w:rFonts w:hint="eastAsia"/>
        </w:rPr>
        <w:t>为每股股票的内在价值，</w:t>
      </w:r>
      <w:r w:rsidRPr="00573202">
        <w:rPr>
          <w:rFonts w:hint="eastAsia"/>
        </w:rPr>
        <w:t>Dt</w:t>
      </w:r>
      <w:r w:rsidRPr="00573202">
        <w:rPr>
          <w:rFonts w:hint="eastAsia"/>
        </w:rPr>
        <w:t>是第</w:t>
      </w:r>
      <w:r w:rsidRPr="00573202">
        <w:rPr>
          <w:rFonts w:hint="eastAsia"/>
        </w:rPr>
        <w:t>t</w:t>
      </w:r>
      <w:r w:rsidRPr="00573202">
        <w:rPr>
          <w:rFonts w:hint="eastAsia"/>
        </w:rPr>
        <w:t>年每股股票现金流的期望值，</w:t>
      </w:r>
      <w:r w:rsidRPr="00573202">
        <w:rPr>
          <w:rFonts w:hint="eastAsia"/>
        </w:rPr>
        <w:t>k</w:t>
      </w:r>
      <w:r w:rsidRPr="00573202">
        <w:rPr>
          <w:rFonts w:hint="eastAsia"/>
        </w:rPr>
        <w:t>是股票的期望收益率。公式表明，股票的内在价值是其逐年期望现金流的现值之</w:t>
      </w:r>
      <w:proofErr w:type="gramStart"/>
      <w:r w:rsidRPr="00573202">
        <w:rPr>
          <w:rFonts w:hint="eastAsia"/>
        </w:rPr>
        <w:t>和</w:t>
      </w:r>
      <w:proofErr w:type="gramEnd"/>
      <w:r w:rsidRPr="00573202">
        <w:rPr>
          <w:rFonts w:hint="eastAsia"/>
        </w:rPr>
        <w:t>。</w:t>
      </w:r>
      <w:r>
        <w:rPr>
          <w:rFonts w:hint="eastAsia"/>
        </w:rPr>
        <w:t>根据茅台公司的特点，</w:t>
      </w:r>
      <w:r>
        <w:rPr>
          <w:rFonts w:hint="eastAsia"/>
        </w:rPr>
        <w:t>DCF</w:t>
      </w:r>
      <w:r>
        <w:rPr>
          <w:rFonts w:hint="eastAsia"/>
        </w:rPr>
        <w:t>估值模型能够较好地反应其内在价值。</w:t>
      </w:r>
    </w:p>
    <w:p w14:paraId="2427AE1A" w14:textId="723A240F" w:rsidR="00573202" w:rsidRPr="00573202" w:rsidRDefault="00573202" w:rsidP="00573202">
      <w:pPr>
        <w:rPr>
          <w:rFonts w:hint="eastAsia"/>
        </w:rPr>
      </w:pPr>
      <w:r>
        <w:tab/>
      </w:r>
      <w:r>
        <w:rPr>
          <w:rFonts w:hint="eastAsia"/>
        </w:rPr>
        <w:t>本次实验中</w:t>
      </w:r>
      <w:r w:rsidRPr="00573202">
        <w:rPr>
          <w:rFonts w:hint="eastAsia"/>
        </w:rPr>
        <w:t>通过</w:t>
      </w:r>
      <w:proofErr w:type="spellStart"/>
      <w:r w:rsidRPr="00573202">
        <w:rPr>
          <w:rFonts w:hint="eastAsia"/>
        </w:rPr>
        <w:t>JoitQuant</w:t>
      </w:r>
      <w:proofErr w:type="spellEnd"/>
      <w:proofErr w:type="gramStart"/>
      <w:r w:rsidRPr="00573202">
        <w:rPr>
          <w:rFonts w:hint="eastAsia"/>
        </w:rPr>
        <w:t>聚宽网</w:t>
      </w:r>
      <w:proofErr w:type="gramEnd"/>
      <w:r w:rsidRPr="00573202">
        <w:rPr>
          <w:rFonts w:hint="eastAsia"/>
        </w:rPr>
        <w:t>提供的</w:t>
      </w:r>
      <w:r w:rsidRPr="00573202">
        <w:rPr>
          <w:rFonts w:hint="eastAsia"/>
        </w:rPr>
        <w:t>API</w:t>
      </w:r>
      <w:r w:rsidRPr="00573202">
        <w:rPr>
          <w:rFonts w:hint="eastAsia"/>
        </w:rPr>
        <w:t>导入相关财务报表的数据</w:t>
      </w:r>
      <w:r>
        <w:rPr>
          <w:rFonts w:hint="eastAsia"/>
        </w:rPr>
        <w:t>，由于免费</w:t>
      </w:r>
      <w:proofErr w:type="gramStart"/>
      <w:r>
        <w:rPr>
          <w:rFonts w:hint="eastAsia"/>
        </w:rPr>
        <w:t>版只有</w:t>
      </w:r>
      <w:proofErr w:type="gramEnd"/>
      <w:r>
        <w:rPr>
          <w:rFonts w:hint="eastAsia"/>
        </w:rPr>
        <w:t>2</w:t>
      </w:r>
      <w:r>
        <w:t>022</w:t>
      </w:r>
      <w:r>
        <w:rPr>
          <w:rFonts w:hint="eastAsia"/>
        </w:rPr>
        <w:t>年一年的数据，这里手动查询计算</w:t>
      </w:r>
      <w:r w:rsidRPr="00573202">
        <w:rPr>
          <w:rFonts w:hint="eastAsia"/>
        </w:rPr>
        <w:t xml:space="preserve">CWC (annual change in net working capital): </w:t>
      </w:r>
      <w:r w:rsidRPr="00573202">
        <w:rPr>
          <w:rFonts w:hint="eastAsia"/>
        </w:rPr>
        <w:t>净营运资本增加值</w:t>
      </w:r>
      <w:r>
        <w:rPr>
          <w:rFonts w:hint="eastAsia"/>
        </w:rPr>
        <w:t>等于</w:t>
      </w:r>
      <w:r w:rsidRPr="00573202">
        <w:t>21162636701.51001</w:t>
      </w:r>
      <w:r>
        <w:rPr>
          <w:rFonts w:hint="eastAsia"/>
        </w:rPr>
        <w:t>。</w:t>
      </w:r>
    </w:p>
    <w:p w14:paraId="2A45D9AD" w14:textId="08CADE58" w:rsidR="00DD26D8" w:rsidRDefault="00573202" w:rsidP="00DD26D8">
      <w:pPr>
        <w:ind w:firstLineChars="200" w:firstLine="480"/>
      </w:pPr>
      <w:r>
        <w:rPr>
          <w:rFonts w:hint="eastAsia"/>
        </w:rPr>
        <w:t>假设</w:t>
      </w:r>
      <w:r w:rsidR="00DD26D8">
        <w:rPr>
          <w:rFonts w:ascii="Cambria Math" w:hAnsi="Cambria Math" w:cs="Cambria Math"/>
        </w:rPr>
        <w:t>𝑛</w:t>
      </w:r>
      <w:r w:rsidR="00DD26D8">
        <w:rPr>
          <w:rFonts w:hint="eastAsia"/>
        </w:rPr>
        <w:t>是预测期的最后一年，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26D8">
        <w:rPr>
          <w:rFonts w:hint="eastAsia"/>
        </w:rPr>
        <w:t>是第</w:t>
      </w:r>
      <w:r w:rsidR="00DD26D8">
        <w:rPr>
          <w:rFonts w:ascii="Cambria Math" w:hAnsi="Cambria Math" w:cs="Cambria Math"/>
        </w:rPr>
        <w:t>𝑡</w:t>
      </w:r>
      <w:r w:rsidR="00DD26D8">
        <w:rPr>
          <w:rFonts w:hint="eastAsia"/>
        </w:rPr>
        <w:t>年的自由现金流，</w:t>
      </w:r>
      <w:r w:rsidR="00DD26D8">
        <w:rPr>
          <w:rFonts w:ascii="Cambria Math" w:hAnsi="Cambria Math" w:cs="Cambria Math"/>
        </w:rPr>
        <w:t>𝑟</w:t>
      </w:r>
      <w:r w:rsidR="00DD26D8">
        <w:rPr>
          <w:rFonts w:hint="eastAsia"/>
        </w:rPr>
        <w:t>是折现率（</w:t>
      </w:r>
      <w:r w:rsidR="00DD26D8">
        <w:rPr>
          <w:rFonts w:hint="eastAsia"/>
        </w:rPr>
        <w:t>WACC</w:t>
      </w:r>
      <w:r w:rsidR="00DD26D8">
        <w:rPr>
          <w:rFonts w:hint="eastAsia"/>
        </w:rPr>
        <w:t>，</w:t>
      </w:r>
      <w:r w:rsidR="00DD26D8">
        <w:rPr>
          <w:rFonts w:hint="eastAsia"/>
        </w:rPr>
        <w:t>Weighted Average Cost of</w:t>
      </w:r>
      <w:r w:rsidR="00DD26D8">
        <w:t xml:space="preserve"> </w:t>
      </w:r>
      <w:r w:rsidR="00DD26D8">
        <w:rPr>
          <w:rFonts w:hint="eastAsia"/>
        </w:rPr>
        <w:t>Capital</w:t>
      </w:r>
      <w:r w:rsidR="00DD26D8">
        <w:rPr>
          <w:rFonts w:hint="eastAsia"/>
        </w:rPr>
        <w:t>），</w:t>
      </w:r>
      <w:r w:rsidR="00DD26D8">
        <w:rPr>
          <w:rFonts w:ascii="Cambria Math" w:hAnsi="Cambria Math" w:cs="Cambria Math"/>
        </w:rPr>
        <w:t>𝑔</w:t>
      </w:r>
      <w:r w:rsidR="00DD26D8">
        <w:rPr>
          <w:rFonts w:hint="eastAsia"/>
        </w:rPr>
        <w:t>为永续增长率。接下来计算</w:t>
      </w:r>
      <w:r w:rsidR="00DD26D8">
        <w:rPr>
          <w:rFonts w:hint="eastAsia"/>
        </w:rPr>
        <w:t>DCF</w:t>
      </w:r>
    </w:p>
    <w:p w14:paraId="54BC844F" w14:textId="77777777" w:rsidR="00DD26D8" w:rsidRPr="00C67EF8" w:rsidRDefault="00DD26D8" w:rsidP="00DD26D8">
      <w:pPr>
        <w:ind w:firstLineChars="200" w:firstLine="480"/>
      </w:pPr>
    </w:p>
    <w:p w14:paraId="5F2CA8F5" w14:textId="29ECA5CC" w:rsidR="00DD26D8" w:rsidRPr="00811A7B" w:rsidRDefault="00000000" w:rsidP="00DD26D8">
      <w:pPr>
        <w:ind w:firstLineChars="200"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DCF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F5AAC2C" w14:textId="77777777" w:rsidR="00DD26D8" w:rsidRDefault="00DD26D8" w:rsidP="00DD26D8">
      <w:pPr>
        <w:ind w:firstLineChars="200" w:firstLine="480"/>
        <w:rPr>
          <w:rFonts w:ascii="Helvetica" w:hAnsi="Helvetica" w:cs="Helvetica"/>
          <w:color w:val="000000"/>
          <w:kern w:val="0"/>
          <w:szCs w:val="24"/>
        </w:rPr>
      </w:pPr>
    </w:p>
    <w:p w14:paraId="648C06C6" w14:textId="77777777" w:rsidR="00DD26D8" w:rsidRDefault="00DD26D8" w:rsidP="00DD26D8">
      <w:pPr>
        <w:ind w:firstLineChars="200" w:firstLine="480"/>
        <w:rPr>
          <w:rFonts w:ascii="Helvetica" w:hAnsi="Helvetica" w:cs="Helvetica"/>
          <w:color w:val="000000"/>
          <w:kern w:val="0"/>
          <w:szCs w:val="24"/>
        </w:rPr>
      </w:pPr>
      <w:r>
        <w:rPr>
          <w:rFonts w:ascii="Helvetica" w:hAnsi="Helvetica" w:cs="Helvetica"/>
          <w:color w:val="000000"/>
          <w:kern w:val="0"/>
          <w:szCs w:val="24"/>
        </w:rPr>
        <w:t>本文中设定自由现金流增长率为</w:t>
      </w:r>
      <w:r>
        <w:rPr>
          <w:rFonts w:ascii="Helvetica" w:hAnsi="Helvetica" w:cs="Helvetica"/>
          <w:color w:val="000000"/>
          <w:kern w:val="0"/>
          <w:szCs w:val="24"/>
        </w:rPr>
        <w:t xml:space="preserve"> </w:t>
      </w:r>
      <w:r>
        <w:rPr>
          <w:color w:val="000000"/>
          <w:kern w:val="0"/>
          <w:szCs w:val="24"/>
        </w:rPr>
        <w:t>10%</w:t>
      </w:r>
      <w:r>
        <w:rPr>
          <w:rFonts w:ascii="Helvetica" w:hAnsi="Helvetica" w:cs="Helvetica"/>
          <w:color w:val="000000"/>
          <w:kern w:val="0"/>
          <w:szCs w:val="24"/>
        </w:rPr>
        <w:t>，折现率为</w:t>
      </w:r>
      <w:r>
        <w:rPr>
          <w:color w:val="000000"/>
          <w:kern w:val="0"/>
          <w:szCs w:val="24"/>
        </w:rPr>
        <w:t>20%</w:t>
      </w:r>
      <w:r>
        <w:rPr>
          <w:rFonts w:ascii="Helvetica" w:hAnsi="Helvetica" w:cs="Helvetica"/>
          <w:color w:val="000000"/>
          <w:kern w:val="0"/>
          <w:szCs w:val="24"/>
        </w:rPr>
        <w:t>，永续增长率为</w:t>
      </w:r>
      <w:r>
        <w:rPr>
          <w:rFonts w:ascii="Helvetica" w:hAnsi="Helvetica" w:cs="Helvetica"/>
          <w:color w:val="000000"/>
          <w:kern w:val="0"/>
          <w:szCs w:val="24"/>
        </w:rPr>
        <w:t xml:space="preserve"> </w:t>
      </w:r>
      <w:r>
        <w:rPr>
          <w:color w:val="000000"/>
          <w:kern w:val="0"/>
          <w:szCs w:val="24"/>
        </w:rPr>
        <w:t>5%</w:t>
      </w:r>
      <w:r>
        <w:rPr>
          <w:rFonts w:ascii="Helvetica" w:hAnsi="Helvetica" w:cs="Helvetica"/>
          <w:color w:val="000000"/>
          <w:kern w:val="0"/>
          <w:szCs w:val="24"/>
        </w:rPr>
        <w:t>。</w:t>
      </w:r>
    </w:p>
    <w:p w14:paraId="6AECBE42" w14:textId="1A434DE6" w:rsidR="00DD26D8" w:rsidRPr="00B056D0" w:rsidRDefault="00DD26D8" w:rsidP="00DD26D8">
      <w:pPr>
        <w:ind w:firstLineChars="200" w:firstLine="480"/>
      </w:pPr>
      <w:r>
        <w:rPr>
          <w:rFonts w:ascii="Helvetica" w:hAnsi="Helvetica" w:cs="Helvetica"/>
          <w:color w:val="000000"/>
          <w:kern w:val="0"/>
          <w:szCs w:val="24"/>
        </w:rPr>
        <w:t>最终</w:t>
      </w:r>
      <w:r w:rsidR="00573202" w:rsidRPr="00573202">
        <w:rPr>
          <w:rFonts w:ascii="Helvetica" w:hAnsi="Helvetica" w:cs="Helvetica" w:hint="eastAsia"/>
          <w:color w:val="000000"/>
          <w:kern w:val="0"/>
          <w:szCs w:val="24"/>
        </w:rPr>
        <w:t>按照</w:t>
      </w:r>
      <w:r w:rsidR="00573202" w:rsidRPr="00573202">
        <w:rPr>
          <w:rFonts w:ascii="Helvetica" w:hAnsi="Helvetica" w:cs="Helvetica" w:hint="eastAsia"/>
          <w:color w:val="000000"/>
          <w:kern w:val="0"/>
          <w:szCs w:val="24"/>
        </w:rPr>
        <w:t>DCF</w:t>
      </w:r>
      <w:r w:rsidR="00573202" w:rsidRPr="00573202">
        <w:rPr>
          <w:rFonts w:ascii="Helvetica" w:hAnsi="Helvetica" w:cs="Helvetica" w:hint="eastAsia"/>
          <w:color w:val="000000"/>
          <w:kern w:val="0"/>
          <w:szCs w:val="24"/>
        </w:rPr>
        <w:t>模型估算，贵州茅台价值为：</w:t>
      </w:r>
      <w:r w:rsidR="00573202" w:rsidRPr="00573202">
        <w:rPr>
          <w:rFonts w:ascii="Helvetica" w:hAnsi="Helvetica" w:cs="Helvetica" w:hint="eastAsia"/>
          <w:color w:val="000000"/>
          <w:kern w:val="0"/>
          <w:szCs w:val="24"/>
        </w:rPr>
        <w:t xml:space="preserve"> 1696.746904434716</w:t>
      </w:r>
      <w:r w:rsidR="00573202">
        <w:rPr>
          <w:rFonts w:ascii="Helvetica" w:hAnsi="Helvetica" w:cs="Helvetica" w:hint="eastAsia"/>
          <w:color w:val="000000"/>
          <w:kern w:val="0"/>
          <w:szCs w:val="24"/>
        </w:rPr>
        <w:t>元一股。</w:t>
      </w:r>
    </w:p>
    <w:p w14:paraId="2CF46AD9" w14:textId="77777777" w:rsidR="00DD26D8" w:rsidRPr="00E8396F" w:rsidRDefault="00DD26D8" w:rsidP="00DD26D8"/>
    <w:p w14:paraId="37B3CE9E" w14:textId="77777777" w:rsidR="00DD26D8" w:rsidRPr="00A25C22" w:rsidRDefault="00DD26D8" w:rsidP="00DD26D8">
      <w:pPr>
        <w:ind w:firstLine="420"/>
        <w:sectPr w:rsidR="00DD26D8" w:rsidRPr="00A25C22" w:rsidSect="007B40CF"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080A4E55" w14:textId="77777777" w:rsidR="00DD26D8" w:rsidRPr="00A678B0" w:rsidRDefault="00DD26D8" w:rsidP="00DD26D8">
      <w:pPr>
        <w:pStyle w:val="1"/>
        <w:spacing w:before="960" w:after="480"/>
      </w:pPr>
      <w:bookmarkStart w:id="64" w:name="_Toc154223909"/>
      <w:r>
        <w:rPr>
          <w:rFonts w:hint="eastAsia"/>
        </w:rPr>
        <w:lastRenderedPageBreak/>
        <w:t>参考文献</w:t>
      </w:r>
      <w:bookmarkEnd w:id="64"/>
    </w:p>
    <w:p w14:paraId="0E6BB892" w14:textId="77777777" w:rsidR="00DD26D8" w:rsidRDefault="00DD26D8" w:rsidP="00DD26D8">
      <w:pPr>
        <w:numPr>
          <w:ilvl w:val="0"/>
          <w:numId w:val="1"/>
        </w:numPr>
        <w:wordWrap w:val="0"/>
        <w:spacing w:beforeLines="50" w:before="120"/>
        <w:ind w:left="567" w:hanging="142"/>
        <w:rPr>
          <w:sz w:val="21"/>
          <w:szCs w:val="21"/>
        </w:rPr>
      </w:pPr>
      <w:r w:rsidRPr="00174A45">
        <w:rPr>
          <w:rFonts w:hint="eastAsia"/>
          <w:sz w:val="21"/>
          <w:szCs w:val="21"/>
        </w:rPr>
        <w:t>何盛明</w:t>
      </w:r>
      <w:r w:rsidRPr="00174A45">
        <w:rPr>
          <w:rFonts w:hint="eastAsia"/>
          <w:sz w:val="21"/>
          <w:szCs w:val="21"/>
        </w:rPr>
        <w:t xml:space="preserve">. </w:t>
      </w:r>
      <w:r w:rsidRPr="00174A45">
        <w:rPr>
          <w:rFonts w:hint="eastAsia"/>
          <w:sz w:val="21"/>
          <w:szCs w:val="21"/>
        </w:rPr>
        <w:t>财经大辞典</w:t>
      </w:r>
      <w:r w:rsidRPr="00174A45">
        <w:rPr>
          <w:rFonts w:hint="eastAsia"/>
          <w:sz w:val="21"/>
          <w:szCs w:val="21"/>
        </w:rPr>
        <w:t xml:space="preserve">[M]. </w:t>
      </w:r>
      <w:r w:rsidRPr="00174A45">
        <w:rPr>
          <w:rFonts w:hint="eastAsia"/>
          <w:sz w:val="21"/>
          <w:szCs w:val="21"/>
        </w:rPr>
        <w:t>第</w:t>
      </w:r>
      <w:r w:rsidRPr="00174A45">
        <w:rPr>
          <w:rFonts w:hint="eastAsia"/>
          <w:sz w:val="21"/>
          <w:szCs w:val="21"/>
        </w:rPr>
        <w:t>1</w:t>
      </w:r>
      <w:r w:rsidRPr="00174A45">
        <w:rPr>
          <w:rFonts w:hint="eastAsia"/>
          <w:sz w:val="21"/>
          <w:szCs w:val="21"/>
        </w:rPr>
        <w:t>版</w:t>
      </w:r>
      <w:r w:rsidRPr="00174A45">
        <w:rPr>
          <w:rFonts w:hint="eastAsia"/>
          <w:sz w:val="21"/>
          <w:szCs w:val="21"/>
        </w:rPr>
        <w:t xml:space="preserve">. </w:t>
      </w:r>
      <w:r w:rsidRPr="00174A45">
        <w:rPr>
          <w:rFonts w:hint="eastAsia"/>
          <w:sz w:val="21"/>
          <w:szCs w:val="21"/>
        </w:rPr>
        <w:t>中国财政经济出版社</w:t>
      </w:r>
      <w:r w:rsidRPr="00174A45">
        <w:rPr>
          <w:rFonts w:hint="eastAsia"/>
          <w:sz w:val="21"/>
          <w:szCs w:val="21"/>
        </w:rPr>
        <w:t>, 1990</w:t>
      </w:r>
      <w:r w:rsidRPr="00174A45">
        <w:rPr>
          <w:rFonts w:hint="eastAsia"/>
          <w:sz w:val="21"/>
          <w:szCs w:val="21"/>
        </w:rPr>
        <w:t>年</w:t>
      </w:r>
      <w:r w:rsidRPr="00174A45">
        <w:rPr>
          <w:rFonts w:hint="eastAsia"/>
          <w:sz w:val="21"/>
          <w:szCs w:val="21"/>
        </w:rPr>
        <w:t>12</w:t>
      </w:r>
      <w:r w:rsidRPr="00174A45">
        <w:rPr>
          <w:rFonts w:hint="eastAsia"/>
          <w:sz w:val="21"/>
          <w:szCs w:val="21"/>
        </w:rPr>
        <w:t>月</w:t>
      </w:r>
      <w:r w:rsidRPr="00174A45">
        <w:rPr>
          <w:rFonts w:hint="eastAsia"/>
          <w:sz w:val="21"/>
          <w:szCs w:val="21"/>
        </w:rPr>
        <w:t>.</w:t>
      </w:r>
      <w:r w:rsidRPr="00041674">
        <w:rPr>
          <w:sz w:val="21"/>
          <w:szCs w:val="21"/>
        </w:rPr>
        <w:t xml:space="preserve"> </w:t>
      </w:r>
    </w:p>
    <w:p w14:paraId="55947A87" w14:textId="77777777" w:rsidR="00DD26D8" w:rsidRDefault="00DD26D8" w:rsidP="00DD26D8">
      <w:pPr>
        <w:numPr>
          <w:ilvl w:val="0"/>
          <w:numId w:val="1"/>
        </w:numPr>
        <w:wordWrap w:val="0"/>
        <w:spacing w:beforeLines="50" w:before="120"/>
        <w:ind w:left="567" w:hanging="142"/>
        <w:rPr>
          <w:sz w:val="21"/>
          <w:szCs w:val="21"/>
        </w:rPr>
      </w:pPr>
      <w:r w:rsidRPr="00C40853">
        <w:rPr>
          <w:rFonts w:hint="eastAsia"/>
          <w:sz w:val="21"/>
          <w:szCs w:val="21"/>
        </w:rPr>
        <w:t>百度百科</w:t>
      </w:r>
      <w:r w:rsidRPr="00C40853">
        <w:rPr>
          <w:rFonts w:hint="eastAsia"/>
          <w:sz w:val="21"/>
          <w:szCs w:val="21"/>
        </w:rPr>
        <w:t xml:space="preserve">. </w:t>
      </w:r>
      <w:r w:rsidRPr="00C40853">
        <w:rPr>
          <w:rFonts w:hint="eastAsia"/>
          <w:sz w:val="21"/>
          <w:szCs w:val="21"/>
        </w:rPr>
        <w:t>苹果公司</w:t>
      </w:r>
      <w:r w:rsidRPr="00C40853">
        <w:rPr>
          <w:rFonts w:hint="eastAsia"/>
          <w:sz w:val="21"/>
          <w:szCs w:val="21"/>
        </w:rPr>
        <w:t>[EB/OL]. [2023.12.21]. https://baike.baidu.com/item/</w:t>
      </w:r>
      <w:r w:rsidRPr="00C40853">
        <w:rPr>
          <w:rFonts w:hint="eastAsia"/>
          <w:sz w:val="21"/>
          <w:szCs w:val="21"/>
        </w:rPr>
        <w:t>苹果公司</w:t>
      </w:r>
      <w:r w:rsidRPr="00C40853">
        <w:rPr>
          <w:rFonts w:hint="eastAsia"/>
          <w:sz w:val="21"/>
          <w:szCs w:val="21"/>
        </w:rPr>
        <w:t>.</w:t>
      </w:r>
    </w:p>
    <w:p w14:paraId="3C2D5D71" w14:textId="77777777" w:rsidR="00DD26D8" w:rsidRDefault="00DD26D8" w:rsidP="00DD26D8">
      <w:pPr>
        <w:numPr>
          <w:ilvl w:val="0"/>
          <w:numId w:val="1"/>
        </w:numPr>
        <w:wordWrap w:val="0"/>
        <w:spacing w:beforeLines="50" w:before="120"/>
        <w:ind w:left="567" w:hanging="142"/>
        <w:rPr>
          <w:sz w:val="21"/>
          <w:szCs w:val="21"/>
        </w:rPr>
      </w:pPr>
      <w:r w:rsidRPr="00794119">
        <w:rPr>
          <w:rFonts w:hint="eastAsia"/>
          <w:sz w:val="21"/>
          <w:szCs w:val="21"/>
        </w:rPr>
        <w:t xml:space="preserve">HOLD LE. </w:t>
      </w:r>
      <w:r w:rsidRPr="00794119">
        <w:rPr>
          <w:rFonts w:hint="eastAsia"/>
          <w:sz w:val="21"/>
          <w:szCs w:val="21"/>
        </w:rPr>
        <w:t>苹果公司</w:t>
      </w:r>
      <w:proofErr w:type="gramStart"/>
      <w:r w:rsidRPr="00794119">
        <w:rPr>
          <w:rFonts w:hint="eastAsia"/>
          <w:sz w:val="21"/>
          <w:szCs w:val="21"/>
        </w:rPr>
        <w:t>年度财报</w:t>
      </w:r>
      <w:proofErr w:type="gramEnd"/>
      <w:r w:rsidRPr="00794119">
        <w:rPr>
          <w:rFonts w:hint="eastAsia"/>
          <w:sz w:val="21"/>
          <w:szCs w:val="21"/>
        </w:rPr>
        <w:t>[EB/OL]. [2023.12.21]. https://www.holdle.com/us_stocks/AAPL.</w:t>
      </w:r>
    </w:p>
    <w:p w14:paraId="33668E12" w14:textId="77777777" w:rsidR="00DD26D8" w:rsidRPr="005F4EA6" w:rsidRDefault="00DD26D8" w:rsidP="00DD26D8">
      <w:pPr>
        <w:spacing w:beforeLines="50" w:before="120"/>
        <w:rPr>
          <w:sz w:val="21"/>
          <w:szCs w:val="21"/>
        </w:rPr>
      </w:pPr>
    </w:p>
    <w:p w14:paraId="0065101A" w14:textId="77777777" w:rsidR="00DD26D8" w:rsidRDefault="00DD26D8" w:rsidP="00DD26D8">
      <w:pPr>
        <w:widowControl/>
        <w:jc w:val="left"/>
        <w:rPr>
          <w:sz w:val="21"/>
          <w:szCs w:val="21"/>
        </w:rPr>
      </w:pPr>
    </w:p>
    <w:p w14:paraId="40275477" w14:textId="77777777" w:rsidR="00DD26D8" w:rsidRDefault="00DD26D8" w:rsidP="00DD26D8">
      <w:pPr>
        <w:widowControl/>
        <w:jc w:val="left"/>
        <w:rPr>
          <w:sz w:val="21"/>
          <w:szCs w:val="21"/>
        </w:rPr>
      </w:pPr>
    </w:p>
    <w:p w14:paraId="3FE03AB7" w14:textId="77777777" w:rsidR="00DD26D8" w:rsidRDefault="00DD26D8" w:rsidP="00DD26D8">
      <w:pPr>
        <w:spacing w:beforeLines="50" w:before="120"/>
        <w:rPr>
          <w:sz w:val="21"/>
          <w:szCs w:val="21"/>
        </w:rPr>
        <w:sectPr w:rsidR="00DD26D8" w:rsidSect="007B40CF">
          <w:headerReference w:type="even" r:id="rId25"/>
          <w:headerReference w:type="default" r:id="rId26"/>
          <w:footerReference w:type="even" r:id="rId27"/>
          <w:headerReference w:type="first" r:id="rId28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18394C69" w14:textId="77777777" w:rsidR="00DD26D8" w:rsidRDefault="00DD26D8" w:rsidP="00DD26D8">
      <w:pPr>
        <w:pStyle w:val="1"/>
        <w:spacing w:before="960" w:after="480"/>
      </w:pPr>
      <w:bookmarkStart w:id="65" w:name="_Toc154223910"/>
      <w:r>
        <w:rPr>
          <w:rFonts w:hint="eastAsia"/>
        </w:rPr>
        <w:lastRenderedPageBreak/>
        <w:t>个人评价</w:t>
      </w:r>
      <w:bookmarkEnd w:id="65"/>
    </w:p>
    <w:p w14:paraId="69350806" w14:textId="636CFF40" w:rsidR="00DD26D8" w:rsidRDefault="00DD26D8" w:rsidP="00DD26D8">
      <w:pPr>
        <w:ind w:firstLine="420"/>
      </w:pPr>
      <w:r>
        <w:rPr>
          <w:rFonts w:hint="eastAsia"/>
        </w:rPr>
        <w:t>本篇实验文档个人评价为</w:t>
      </w:r>
      <w:r>
        <w:rPr>
          <w:rFonts w:hint="eastAsia"/>
        </w:rPr>
        <w:t>9</w:t>
      </w:r>
      <w:r w:rsidR="00573202">
        <w:t>5</w:t>
      </w:r>
      <w:r>
        <w:rPr>
          <w:rFonts w:hint="eastAsia"/>
        </w:rPr>
        <w:t>分左右。</w:t>
      </w:r>
    </w:p>
    <w:p w14:paraId="1549B4B0" w14:textId="681BAC20" w:rsidR="00573202" w:rsidRDefault="00573202" w:rsidP="00DD26D8">
      <w:pPr>
        <w:ind w:firstLine="420"/>
      </w:pPr>
      <w:r>
        <w:rPr>
          <w:rFonts w:hint="eastAsia"/>
        </w:rPr>
        <w:t>在本次实验中，准备数据阶段困难比较大，很难找到干净且全面的数据，特别是在计算</w:t>
      </w:r>
      <w:r>
        <w:rPr>
          <w:rFonts w:hint="eastAsia"/>
        </w:rPr>
        <w:t>DCF</w:t>
      </w:r>
      <w:r>
        <w:rPr>
          <w:rFonts w:hint="eastAsia"/>
        </w:rPr>
        <w:t>模型估值的时候，需要的数据较多且比较详细。最后使用了</w:t>
      </w:r>
      <w:r w:rsidRPr="00573202">
        <w:rPr>
          <w:rFonts w:hint="eastAsia"/>
        </w:rPr>
        <w:t>通过</w:t>
      </w:r>
      <w:proofErr w:type="spellStart"/>
      <w:r w:rsidRPr="00573202">
        <w:rPr>
          <w:rFonts w:hint="eastAsia"/>
        </w:rPr>
        <w:t>JoitQuant</w:t>
      </w:r>
      <w:proofErr w:type="spellEnd"/>
      <w:proofErr w:type="gramStart"/>
      <w:r w:rsidRPr="00573202">
        <w:rPr>
          <w:rFonts w:hint="eastAsia"/>
        </w:rPr>
        <w:t>聚宽网</w:t>
      </w:r>
      <w:proofErr w:type="gramEnd"/>
      <w:r w:rsidRPr="00573202">
        <w:rPr>
          <w:rFonts w:hint="eastAsia"/>
        </w:rPr>
        <w:t>提供的</w:t>
      </w:r>
      <w:r w:rsidRPr="00573202">
        <w:rPr>
          <w:rFonts w:hint="eastAsia"/>
        </w:rPr>
        <w:t>API</w:t>
      </w:r>
      <w:r w:rsidRPr="00573202">
        <w:rPr>
          <w:rFonts w:hint="eastAsia"/>
        </w:rPr>
        <w:t>导入相关财务报表的数据</w:t>
      </w:r>
      <w:r w:rsidR="006A1F47">
        <w:rPr>
          <w:rFonts w:hint="eastAsia"/>
        </w:rPr>
        <w:t>，这个地方可以免费使用三个月的财报数据。</w:t>
      </w:r>
    </w:p>
    <w:p w14:paraId="10C3EC7F" w14:textId="2F3D4442" w:rsidR="006A1F47" w:rsidRDefault="006A1F47" w:rsidP="00DD26D8">
      <w:pPr>
        <w:ind w:firstLine="420"/>
      </w:pPr>
      <w:r>
        <w:rPr>
          <w:rFonts w:hint="eastAsia"/>
        </w:rPr>
        <w:t>在画图和计算估值的过程中，也有非常多的金融术语的含义需要学习，其中还</w:t>
      </w:r>
      <w:proofErr w:type="gramStart"/>
      <w:r>
        <w:rPr>
          <w:rFonts w:hint="eastAsia"/>
        </w:rPr>
        <w:t>很很多</w:t>
      </w:r>
      <w:proofErr w:type="gramEnd"/>
      <w:r>
        <w:rPr>
          <w:rFonts w:hint="eastAsia"/>
        </w:rPr>
        <w:t>是我在金融辅修中也没有接触到的，这也让我认识到了什么是隔行如隔山。</w:t>
      </w:r>
    </w:p>
    <w:p w14:paraId="616F0939" w14:textId="4CD06A4D" w:rsidR="006A1F47" w:rsidRPr="00573202" w:rsidRDefault="006A1F47" w:rsidP="00DD26D8">
      <w:pPr>
        <w:ind w:firstLine="420"/>
        <w:rPr>
          <w:rFonts w:hint="eastAsia"/>
        </w:rPr>
      </w:pPr>
      <w:r>
        <w:rPr>
          <w:rFonts w:hint="eastAsia"/>
        </w:rPr>
        <w:t>总的来看这次实验完成得比较高，结合高质量的数据信息分析出了一些有用的结论，自己也在这个过程中收获良多。数据可视化不是一个孤立地写代码的步骤，而是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整个流程，从数据准备到数据</w:t>
      </w:r>
      <w:proofErr w:type="gramStart"/>
      <w:r>
        <w:rPr>
          <w:rFonts w:hint="eastAsia"/>
        </w:rPr>
        <w:t>清洗再</w:t>
      </w:r>
      <w:proofErr w:type="gramEnd"/>
      <w:r>
        <w:rPr>
          <w:rFonts w:hint="eastAsia"/>
        </w:rPr>
        <w:t>到可视化后的结论分析，都需要大量的跨行业的复合知识，没有哪个地方是仅仅写代码就可以了的。同时它激励我不断学习行业知识，用计算机赋能各行各业才能有更深的造诣。</w:t>
      </w:r>
    </w:p>
    <w:p w14:paraId="6E86EB97" w14:textId="77777777" w:rsidR="00964ADC" w:rsidRPr="00DD26D8" w:rsidRDefault="00964ADC"/>
    <w:sectPr w:rsidR="00964ADC" w:rsidRPr="00DD26D8" w:rsidSect="007B40CF">
      <w:headerReference w:type="default" r:id="rId29"/>
      <w:footerReference w:type="default" r:id="rId30"/>
      <w:pgSz w:w="11906" w:h="16838" w:code="9"/>
      <w:pgMar w:top="1418" w:right="1418" w:bottom="1418" w:left="1701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FD3F" w14:textId="77777777" w:rsidR="00D04455" w:rsidRDefault="00D04455">
      <w:pPr>
        <w:spacing w:line="240" w:lineRule="auto"/>
      </w:pPr>
      <w:r>
        <w:separator/>
      </w:r>
    </w:p>
  </w:endnote>
  <w:endnote w:type="continuationSeparator" w:id="0">
    <w:p w14:paraId="5A74D3B7" w14:textId="77777777" w:rsidR="00D04455" w:rsidRDefault="00D04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D4C82" w14:textId="77777777" w:rsidR="00000000" w:rsidRDefault="00CD1FF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B1752F">
      <w:rPr>
        <w:noProof/>
        <w:lang w:val="zh-CN"/>
      </w:rPr>
      <w:t>13</w:t>
    </w:r>
    <w:r>
      <w:fldChar w:fldCharType="end"/>
    </w:r>
  </w:p>
  <w:p w14:paraId="553CFD7E" w14:textId="77777777" w:rsidR="00000000" w:rsidRDefault="00000000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A4D3" w14:textId="77777777" w:rsidR="00000000" w:rsidRDefault="00CD1FF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13</w:t>
    </w:r>
    <w:r>
      <w:fldChar w:fldCharType="end"/>
    </w:r>
  </w:p>
  <w:p w14:paraId="6336F8C9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3308" w14:textId="77777777" w:rsidR="00000000" w:rsidRDefault="00000000">
    <w:pPr>
      <w:pStyle w:val="a5"/>
    </w:pPr>
  </w:p>
  <w:p w14:paraId="5FC4BE74" w14:textId="77777777"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3664" w14:textId="77777777" w:rsidR="00000000" w:rsidRDefault="00CD1FF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13</w:t>
    </w:r>
    <w:r>
      <w:fldChar w:fldCharType="end"/>
    </w:r>
  </w:p>
  <w:p w14:paraId="490F53CC" w14:textId="77777777" w:rsidR="00000000" w:rsidRDefault="0000000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D0DF" w14:textId="77777777" w:rsidR="00000000" w:rsidRDefault="00000000">
    <w:pPr>
      <w:pStyle w:val="a5"/>
    </w:pPr>
  </w:p>
  <w:p w14:paraId="08E5C0EC" w14:textId="77777777" w:rsidR="00000000" w:rsidRDefault="0000000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971E" w14:textId="77777777" w:rsidR="00000000" w:rsidRDefault="00CD1FF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</w:t>
    </w:r>
    <w:r>
      <w:fldChar w:fldCharType="end"/>
    </w:r>
  </w:p>
  <w:p w14:paraId="4B575DFF" w14:textId="77777777" w:rsidR="00000000" w:rsidRDefault="00000000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230E" w14:textId="77777777" w:rsidR="00000000" w:rsidRDefault="00CD1FF2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10</w:t>
    </w:r>
    <w:r>
      <w:fldChar w:fldCharType="end"/>
    </w:r>
  </w:p>
  <w:p w14:paraId="3304B95C" w14:textId="77777777" w:rsidR="00000000" w:rsidRDefault="00000000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266E" w14:textId="77777777" w:rsidR="00000000" w:rsidRDefault="00CD1FF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13</w:t>
    </w:r>
    <w:r>
      <w:fldChar w:fldCharType="end"/>
    </w:r>
  </w:p>
  <w:p w14:paraId="4BC53F00" w14:textId="77777777" w:rsidR="00000000" w:rsidRDefault="00000000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077C" w14:textId="77777777" w:rsidR="00000000" w:rsidRDefault="00CD1FF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8C2566">
      <w:rPr>
        <w:noProof/>
        <w:lang w:val="zh-CN"/>
      </w:rPr>
      <w:t>13</w:t>
    </w:r>
    <w:r>
      <w:fldChar w:fldCharType="end"/>
    </w:r>
  </w:p>
  <w:p w14:paraId="61C41382" w14:textId="77777777" w:rsidR="00000000" w:rsidRDefault="00000000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6804" w14:textId="77777777" w:rsidR="00000000" w:rsidRDefault="00000000">
    <w:pPr>
      <w:pStyle w:val="a5"/>
    </w:pPr>
  </w:p>
  <w:p w14:paraId="732A5E35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21AF" w14:textId="77777777" w:rsidR="00D04455" w:rsidRDefault="00D04455">
      <w:pPr>
        <w:spacing w:line="240" w:lineRule="auto"/>
      </w:pPr>
      <w:r>
        <w:separator/>
      </w:r>
    </w:p>
  </w:footnote>
  <w:footnote w:type="continuationSeparator" w:id="0">
    <w:p w14:paraId="7CF4AEA7" w14:textId="77777777" w:rsidR="00D04455" w:rsidRDefault="00D04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3427" w14:textId="77777777" w:rsidR="00000000" w:rsidRDefault="00CD1FF2">
    <w:pPr>
      <w:pStyle w:val="a3"/>
    </w:pPr>
    <w:r>
      <w:rPr>
        <w:rFonts w:hint="eastAsia"/>
      </w:rPr>
      <w:t>本科毕业论文（设计）</w:t>
    </w:r>
    <w:r>
      <w:rPr>
        <w:rFonts w:ascii="宋体" w:hAnsi="宋体" w:hint="eastAsia"/>
      </w:rPr>
      <w:t>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08C1" w14:textId="77777777" w:rsidR="00000000" w:rsidRDefault="00CD1FF2" w:rsidP="00353F16">
    <w:pPr>
      <w:pStyle w:val="a3"/>
    </w:pPr>
    <w:r>
      <w:rPr>
        <w:rFonts w:hint="eastAsia"/>
      </w:rPr>
      <w:t>大数据可视化考试报告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DF7A" w14:textId="77777777" w:rsidR="00000000" w:rsidRDefault="00CD1FF2" w:rsidP="00E017A2">
    <w:pPr>
      <w:pStyle w:val="a3"/>
    </w:pPr>
    <w:r>
      <w:rPr>
        <w:rFonts w:hint="eastAsia"/>
      </w:rPr>
      <w:t>大数据可视化考试报告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E7E1" w14:textId="77777777" w:rsidR="00000000" w:rsidRDefault="00000000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CDB5" w14:textId="77777777" w:rsidR="00000000" w:rsidRDefault="00000000" w:rsidP="00B85F76">
    <w:pPr>
      <w:pStyle w:val="a3"/>
      <w:pBdr>
        <w:bottom w:val="none" w:sz="0" w:space="0" w:color="auto"/>
      </w:pBdr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5E5F" w14:textId="77777777" w:rsidR="00000000" w:rsidRDefault="00000000" w:rsidP="0033017F">
    <w:pPr>
      <w:pStyle w:val="a3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1AC1" w14:textId="77777777" w:rsidR="00000000" w:rsidRPr="008C2566" w:rsidRDefault="00000000" w:rsidP="008C2566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A7F9" w14:textId="77777777" w:rsidR="00000000" w:rsidRDefault="00000000" w:rsidP="00E017A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42" w:firstLine="142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9703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8"/>
    <w:rsid w:val="002B0C3C"/>
    <w:rsid w:val="003E0E90"/>
    <w:rsid w:val="00573202"/>
    <w:rsid w:val="006A1F47"/>
    <w:rsid w:val="007A5540"/>
    <w:rsid w:val="00964ADC"/>
    <w:rsid w:val="00CD1FF2"/>
    <w:rsid w:val="00D04455"/>
    <w:rsid w:val="00D42B08"/>
    <w:rsid w:val="00D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C278"/>
  <w15:chartTrackingRefBased/>
  <w15:docId w15:val="{A726CF99-C8E7-46EC-BB32-DA5AA0B6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6D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6D8"/>
    <w:pPr>
      <w:keepNext/>
      <w:keepLines/>
      <w:spacing w:beforeLines="400" w:afterLines="20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6D8"/>
    <w:pPr>
      <w:keepNext/>
      <w:keepLines/>
      <w:spacing w:beforeLines="100" w:afterLines="50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6D8"/>
    <w:pPr>
      <w:keepNext/>
      <w:keepLines/>
      <w:spacing w:beforeLines="5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26D8"/>
    <w:rPr>
      <w:rFonts w:ascii="Times New Roman" w:eastAsia="华文中宋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D26D8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D26D8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DD2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6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6D8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D26D8"/>
    <w:pPr>
      <w:ind w:leftChars="400" w:left="400" w:rightChars="200" w:right="200"/>
    </w:pPr>
  </w:style>
  <w:style w:type="paragraph" w:styleId="TOC1">
    <w:name w:val="toc 1"/>
    <w:basedOn w:val="a"/>
    <w:next w:val="a"/>
    <w:autoRedefine/>
    <w:uiPriority w:val="39"/>
    <w:unhideWhenUsed/>
    <w:rsid w:val="00DD26D8"/>
    <w:pPr>
      <w:tabs>
        <w:tab w:val="right" w:leader="dot" w:pos="8777"/>
      </w:tabs>
      <w:spacing w:beforeLines="50"/>
      <w:ind w:leftChars="200" w:left="480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DD26D8"/>
    <w:pPr>
      <w:ind w:leftChars="300" w:left="300" w:rightChars="200" w:right="200"/>
    </w:pPr>
  </w:style>
  <w:style w:type="character" w:styleId="a7">
    <w:name w:val="Hyperlink"/>
    <w:uiPriority w:val="99"/>
    <w:unhideWhenUsed/>
    <w:rsid w:val="00DD26D8"/>
    <w:rPr>
      <w:color w:val="0000FF"/>
      <w:u w:val="single"/>
    </w:rPr>
  </w:style>
  <w:style w:type="table" w:styleId="a8">
    <w:name w:val="Table Grid"/>
    <w:basedOn w:val="a1"/>
    <w:uiPriority w:val="59"/>
    <w:rsid w:val="00DD26D8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42B0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image" Target="media/image2.pn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9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罗震宇</dc:creator>
  <cp:keywords/>
  <dc:description/>
  <cp:lastModifiedBy>Frenemy L</cp:lastModifiedBy>
  <cp:revision>2</cp:revision>
  <dcterms:created xsi:type="dcterms:W3CDTF">2023-12-22T09:38:00Z</dcterms:created>
  <dcterms:modified xsi:type="dcterms:W3CDTF">2023-12-23T03:44:00Z</dcterms:modified>
</cp:coreProperties>
</file>