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根尖X光影像之根管充填長度自動估測</w:t>
      </w:r>
    </w:p>
    <w:p>
      <w:pPr>
        <w:spacing w:after="240"/>
        <w:jc w:val="center"/>
      </w:pPr>
      <w:r>
        <w:rPr>
          <w:rFonts w:ascii="Times New Roman" w:eastAsia="標楷體" w:hAnsi="Times New Roman"/>
          <w:color w:val="595959"/>
          <w:sz w:val="22"/>
          <w:szCs w:val="22"/>
        </w:rPr>
        <w:t xml:space="preserve">材料與方法／結果（草稿 v5，2026-10-20；章節結構比照 J Dent Sci 2026;21:2294）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說明：黃底【 】為需填入或確認之處；參數均取自 Project 內程式碼設定值。小節切法比照參考論文（資料集→前處理→模型→長度評估方法→評估指標；結果以表格對照），文字力求精簡。文末附「待確認事項」。</w:t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材料與方法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根尖X光影像資料集收集與標註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本研究收集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【機構名稱】</w:t>
      </w:r>
      <w:r>
        <w:rPr>
          <w:rFonts w:ascii="Times New Roman" w:eastAsia="標楷體" w:hAnsi="Times New Roman"/>
          <w:sz w:val="24"/>
          <w:szCs w:val="24"/>
        </w:rPr>
        <w:t xml:space="preserve"> 已完成根管治療且影像中可清楚辨識充填物之根尖X光影像。研究計畫經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【IRB 單位】</w:t>
      </w:r>
      <w:r>
        <w:rPr>
          <w:rFonts w:ascii="Times New Roman" w:eastAsia="標楷體" w:hAnsi="Times New Roman"/>
          <w:sz w:val="24"/>
          <w:szCs w:val="24"/>
        </w:rPr>
        <w:t xml:space="preserve"> 審查通過（IRB 編號：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）。影像以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【X光機型號、感測器尺寸】</w:t>
      </w:r>
      <w:r>
        <w:rPr>
          <w:rFonts w:ascii="Times New Roman" w:eastAsia="標楷體" w:hAnsi="Times New Roman"/>
          <w:sz w:val="24"/>
          <w:szCs w:val="24"/>
        </w:rPr>
        <w:t xml:space="preserve"> 取得，解析度為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【W×H 像素（如有多種請列出）】</w:t>
      </w:r>
      <w:r>
        <w:rPr>
          <w:rFonts w:ascii="Times New Roman" w:eastAsia="標楷體" w:hAnsi="Times New Roman"/>
          <w:sz w:val="24"/>
          <w:szCs w:val="24"/>
        </w:rPr>
        <w:t xml:space="preserve">，皆經去識別化。每張影像以一顆目標牙為對象，共 67 顆前牙（上顎 53、下顎 14；女性 40 名、男性 27 名，年齡 11–78 歲）。參考標準由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【牙醫師人數與年資】</w:t>
      </w:r>
      <w:r>
        <w:rPr>
          <w:rFonts w:ascii="Times New Roman" w:eastAsia="標楷體" w:hAnsi="Times New Roman"/>
          <w:sz w:val="24"/>
          <w:szCs w:val="24"/>
        </w:rPr>
        <w:t xml:space="preserve"> 於臨床記錄充填物長度（mm，精度 0.25 mm），另登錄 FDI 牙位、年齡、性別與臨床備註（shortening、elongation）；牙位僅用於方向判定；年齡作為迴歸模型之輸入特徵之一，性別僅用於誤差分析。牙齒輪廓以 Roboflow 進行多邊形標註（單一類別 tooth），標註者為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，並經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【資深牙醫師】</w:t>
      </w:r>
      <w:r>
        <w:rPr>
          <w:rFonts w:ascii="Times New Roman" w:eastAsia="標楷體" w:hAnsi="Times New Roman"/>
          <w:sz w:val="24"/>
          <w:szCs w:val="24"/>
        </w:rPr>
        <w:t xml:space="preserve"> 複核。分割模型之訓練資料共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【張數（A5 資料夾名含 268，請確認）】</w:t>
      </w:r>
      <w:r>
        <w:rPr>
          <w:rFonts w:ascii="Times New Roman" w:eastAsia="標楷體" w:hAnsi="Times New Roman"/>
          <w:sz w:val="24"/>
          <w:szCs w:val="24"/>
        </w:rPr>
        <w:t xml:space="preserve">，以固定種子（42）按 8:2 分為訓練集與驗證集；另 26 顆牙保留為獨立測試集，用於長度估測之評估。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影像前處理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前處理流程如圖1左側。首先對原始影像施作限制對比自適應直方圖均衡化（CLAHE；clip limit = 1.5，tile grid 8×8），以增強牙根與齒槽骨交界之對比；為避免黑邊被放大為雜訊，僅於灰階值 &gt; 5 之有效影像區域內施作，黑邊維持原樣。clip limit 係由 0.5、1.0、1.5、2.0 之預覽影像比較後選定。其次進行尺寸標準化：上下各補 10% 影像高度之黑邊（像素值 0），再以 letterbox 等比例縮放至 640×640，並同步轉換多邊形標註座標；每張影像之縮放比例（scale）逐一記錄，供後續將像素長度還原至原圖像素空間。增強後影像即為標註、訓練與推論之統一輸入，訓練與推論階段不再重複增強。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圖1  根管充填長度自動估測流程。(A) 牙齒分割：於 CLAHE 前處理影像上標註牙齒輪廓並以 YOLO-seg 預測遮罩；(B) 實際長度轉換：像素長度經迴歸換算為 mm 後扣除 0.5 mm；最後以 MAE、RMSE、R、R² 與理想比率評估。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YOLO 牙齒分割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牙齒實例分割採用 Ultralytics YOLO 分割架構（</w:t>
      </w:r>
      <w:r>
        <w:rPr>
          <w:rFonts w:ascii="Times New Roman" w:eastAsia="標楷體" w:hAnsi="Times New Roman"/>
          <w:b/>
          <w:bCs/>
          <w:sz w:val="24"/>
          <w:szCs w:val="24"/>
        </w:rPr>
        <w:t xml:space="preserve">YOLO26n-seg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【程式為 yolo26n-seg.pt，圖1 標示 yolov11，請統一】</w:t>
      </w:r>
      <w:r>
        <w:rPr>
          <w:rFonts w:ascii="Times New Roman" w:eastAsia="標楷體" w:hAnsi="Times New Roman"/>
          <w:sz w:val="24"/>
          <w:szCs w:val="24"/>
        </w:rPr>
        <w:t xml:space="preserve">；Ultralytics，2025），以 COCO 預訓練權重初始化。訓練參數：輸入 640×640、150 epochs、batch 4、AdamW、初始學習率 0.001、關閉混合精度與 early stopping；資料增強為旋轉 ±10°、平移 0.05、縮放 0.1、mosaic 0.3，不作左右翻轉以保留牙齒之生理方向性。為量化訓練隨機性之影響，固定資料切分，僅改變訓練種子（0–4）各訓練一次，所有結果以 5 個種子之平均 ± 標準差報告。推論時（conf ≥ 0.15）每個預測遮罩先填實並以 3×3 開運算去除細連線，僅保留最大連通區以排除分割碎塊；目標牙以遮罩外接框與參考框 IoU 最高者選取。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根管充填長度評估方法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長度量測如圖1(B)。對所選遮罩之多邊形頂點進行主成分分析求得質心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sz w:val="24"/>
          <w:szCs w:val="24"/>
        </w:rPr>
        <w:t xml:space="preserve"> 與第一主軸單位向量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u</w:t>
      </w:r>
      <w:r>
        <w:rPr>
          <w:rFonts w:ascii="Times New Roman" w:eastAsia="標楷體" w:hAnsi="Times New Roman"/>
          <w:sz w:val="24"/>
          <w:szCs w:val="24"/>
        </w:rPr>
        <w:t xml:space="preserve">，將頂點投影至主軸後取投影最小與最大者為兩端點 A（切端）與 B（根尖端），像素長度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L</w:t>
      </w:r>
      <w:r>
        <w:rPr>
          <w:rFonts w:ascii="Times New Roman" w:eastAsia="標楷體" w:hAnsi="Times New Roman"/>
          <w:sz w:val="24"/>
          <w:szCs w:val="24"/>
        </w:rPr>
        <w:t xml:space="preserve">ₚₓ 依 (1) 計算，並乘以前處理記錄之 scale 還原至原圖像素空間。A/B 之方向依 FDI 牙位決定（上顎牙冠朝下、下顎牙冠朝上），無牙位資訊時以兩端各 30% 長度內之平均寬度較大者為牙冠。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sSub>
          <m:sSubPr/>
          <m:e>
            <m:r>
              <m:t>L</m:t>
            </m:r>
          </m:e>
          <m:sub>
            <m:r>
              <m:t>px</m:t>
            </m:r>
          </m:sub>
        </m:sSub>
        <m:r>
          <m:t> = ‖</m:t>
        </m:r>
        <m:sSub>
          <m:sSubPr/>
          <m:e>
            <m:r>
              <m:t>p</m:t>
            </m:r>
          </m:e>
          <m:sub>
            <m:r>
              <m:t>B</m:t>
            </m:r>
          </m:sub>
        </m:sSub>
        <m:r>
          <m:t> − </m:t>
        </m:r>
        <m:sSub>
          <m:sSubPr/>
          <m:e>
            <m:r>
              <m:t>p</m:t>
            </m:r>
          </m:e>
          <m:sub>
            <m:r>
              <m:t>A</m:t>
            </m:r>
          </m:sub>
        </m:sSub>
        <m:r>
          <m:t>‖,  </m:t>
        </m:r>
        <m:sSub>
          <m:sSubPr/>
          <m:e>
            <m:r>
              <m:t>p</m:t>
            </m:r>
          </m:e>
          <m:sub>
            <m:r>
              <m:t>A,B</m:t>
            </m:r>
          </m:sub>
        </m:sSub>
        <m:r>
          <m:t> = c + u · min/max</m:t>
        </m:r>
        <m:sSub>
          <m:sSubPr/>
          <m:e>
            <m:r>
              <m:t/>
            </m:r>
          </m:e>
          <m:sub>
            <m:r>
              <m:t>i</m:t>
            </m:r>
          </m:sub>
        </m:sSub>
        <m:r>
          <m:t>[(</m:t>
        </m:r>
        <m:sSub>
          <m:sSubPr/>
          <m:e>
            <m:r>
              <m:t>x</m:t>
            </m:r>
          </m:e>
          <m:sub>
            <m:r>
              <m:t>i</m:t>
            </m:r>
          </m:sub>
        </m:sSub>
        <m:r>
          <m:t> − c)·u]</m:t>
        </m:r>
      </m:oMath>
      <w:r>
        <w:rPr>
          <w:rFonts w:ascii="Times New Roman" w:eastAsia="標楷體" w:hAnsi="Times New Roman"/>
          <w:sz w:val="24"/>
          <w:szCs w:val="24"/>
        </w:rPr>
        <w:t xml:space="preserve">	(1)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由於影像來自不同解析度之匯出設定，各影像之 px/mm 刻度不一致（整體變異係數約 0.41，同一整張影像尺寸內僅 0.05–0.10）。因此依 (2) 將像素長度正規化為「長邊 1200 px 等效像素」，其中 S 為整張影像之長邊像素數；此正規化僅使用影像尺寸，未使用任何 mm 參考值。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sSub>
          <m:sSubPr/>
          <m:e>
            <m:r>
              <m:t>L</m:t>
            </m:r>
          </m:e>
          <m:sub>
            <m:r>
              <m:t>norm</m:t>
            </m:r>
          </m:sub>
        </m:sSub>
        <m:r>
          <m:t> = </m:t>
        </m:r>
        <m:sSub>
          <m:sSubPr/>
          <m:e>
            <m:r>
              <m:t>L</m:t>
            </m:r>
          </m:e>
          <m:sub>
            <m:r>
              <m:t>px</m:t>
            </m:r>
          </m:sub>
        </m:sSub>
        <m:r>
          <m:t> × 1200 / S</m:t>
        </m:r>
      </m:oMath>
      <w:r>
        <w:rPr>
          <w:rFonts w:ascii="Times New Roman" w:eastAsia="標楷體" w:hAnsi="Times New Roman"/>
          <w:sz w:val="24"/>
          <w:szCs w:val="24"/>
        </w:rPr>
        <w:t xml:space="preserve">	(2)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最後以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L</w:t>
      </w:r>
      <w:r>
        <w:rPr>
          <w:rFonts w:ascii="Times New Roman" w:eastAsia="標楷體" w:hAnsi="Times New Roman"/>
          <w:sz w:val="24"/>
          <w:szCs w:val="24"/>
        </w:rPr>
        <w:t xml:space="preserve">ₙₒᵣₘ 與患者年齡（歲）為輸入特徵，以牙醫師記錄之充填物長度為目標，訓練前饋類神經網路（MATLAB fitnet；1 隱藏層 5 神經元，貝氏正則化 trainbr，最多 200 epochs，輸入以訓練折之均值/標準差標準化）。採 5 折交叉驗證（固定種子 42，n = 26）並重複 10 次（種子 43–52），以 out-of-fold 預測計算指標後取 10 次平均 ± 標準差；對照組為以相同折別訓練之最小平方線性迴歸。基於臨床上寧短勿長之安全考量，最終估測值為迴歸輸出扣除 0.5 mm 之固定偏移，如 (3)。另以三組對照評估各輸入之貢獻：(i) 僅以 L_norm 為輸入（不含年齡）；(ii) 冠寬比例尺——以遮罩長度與冠寬之比值乘以各牙位教科書平均冠寬（上顎正中/側門牙 8.5/6.5 mm，下顎 5.0/5.5 mm）；(iii) 牙位基準——僅以各牙位教科書平均全長（23.5/22.0/21.0/22.0 mm）為輸入，作為不看影像之基線。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r>
          <m:t>ŷ = f(</m:t>
        </m:r>
        <m:sSub>
          <m:sSubPr/>
          <m:e>
            <m:r>
              <m:t>L</m:t>
            </m:r>
          </m:e>
          <m:sub>
            <m:r>
              <m:t>norm</m:t>
            </m:r>
          </m:sub>
        </m:sSub>
        <m:r>
          <m:t>, age) − 0.5 mm</m:t>
        </m:r>
      </m:oMath>
      <w:r>
        <w:rPr>
          <w:rFonts w:ascii="Times New Roman" w:eastAsia="標楷體" w:hAnsi="Times New Roman"/>
          <w:sz w:val="24"/>
          <w:szCs w:val="24"/>
        </w:rPr>
        <w:t xml:space="preserve">	(3)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評估指標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令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y</w:t>
      </w:r>
      <w:r>
        <w:rPr>
          <w:rFonts w:ascii="Times New Roman" w:eastAsia="標楷體" w:hAnsi="Times New Roman"/>
          <w:sz w:val="24"/>
          <w:szCs w:val="24"/>
        </w:rPr>
        <w:t xml:space="preserve">ᵢ 為第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i</w:t>
      </w:r>
      <w:r>
        <w:rPr>
          <w:rFonts w:ascii="Times New Roman" w:eastAsia="標楷體" w:hAnsi="Times New Roman"/>
          <w:sz w:val="24"/>
          <w:szCs w:val="24"/>
        </w:rPr>
        <w:t xml:space="preserve"> 顆牙之實際充填長度、ŷᵢ 為校正後預測長度、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n</w:t>
      </w:r>
      <w:r>
        <w:rPr>
          <w:rFonts w:ascii="Times New Roman" w:eastAsia="標楷體" w:hAnsi="Times New Roman"/>
          <w:sz w:val="24"/>
          <w:szCs w:val="24"/>
        </w:rPr>
        <w:t xml:space="preserve"> 為測試牙數。長度估測效能以 (4)–(7) 之平均絕對誤差（MAE）、均方根誤差（RMSE）、皮爾森相關係數（R）與決定係數（R² = R 之平方）評估；臨床安全性以 (8) 之理想比率（校正後誤差落在 ±1.0 mm 內之比例）與平均偏差（mean bias，正值表整體偏長）評估。分割效能以 Box/Mask mAP50 與 mAP50–95 報告；獨立測試集之逐張 Mask mAP50–95 以 conf ≥ 0.001 之所有預測遮罩於原圖解析度、IoU 閾值 0.50:0.05:0.95 計算。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r>
          <m:t>MAE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</m:t>
            </m:r>
          </m:e>
        </m:nary>
      </m:oMath>
      <w:r>
        <w:rPr>
          <w:rFonts w:ascii="Times New Roman" w:eastAsia="標楷體" w:hAnsi="Times New Roman"/>
          <w:sz w:val="24"/>
          <w:szCs w:val="24"/>
        </w:rPr>
        <w:t xml:space="preserve">	(4)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r>
          <m:t>RMSE = </m:t>
        </m:r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  <w:r>
        <w:rPr>
          <w:rFonts w:ascii="Times New Roman" w:eastAsia="標楷體" w:hAnsi="Times New Roman"/>
          <w:sz w:val="24"/>
          <w:szCs w:val="24"/>
        </w:rPr>
        <w:t xml:space="preserve">	(5)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r>
          <m:t>R = </m:t>
        </m:r>
        <m:f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ȳ̂)(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 − ȳ)</m:t>
                </m:r>
              </m:e>
            </m:nary>
          </m:num>
          <m:den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ȳ̂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  <w:r>
        <w:rPr>
          <w:rFonts w:ascii="Times New Roman" w:eastAsia="標楷體" w:hAnsi="Times New Roman"/>
          <w:sz w:val="24"/>
          <w:szCs w:val="24"/>
        </w:rPr>
        <w:t xml:space="preserve">	(6)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= </m:t>
        </m:r>
        <m:sSup>
          <m:sSupPr/>
          <m:e>
            <m:r>
              <m:t>(R)</m:t>
            </m:r>
          </m:e>
          <m:sup>
            <m:r>
              <m:t>2</m:t>
            </m:r>
          </m:sup>
        </m:sSup>
      </m:oMath>
      <w:r>
        <w:rPr>
          <w:rFonts w:ascii="Times New Roman" w:eastAsia="標楷體" w:hAnsi="Times New Roman"/>
          <w:sz w:val="24"/>
          <w:szCs w:val="24"/>
        </w:rPr>
        <w:t xml:space="preserve">	(7)</w:t>
      </w:r>
    </w:p>
    <w:p>
      <w:pPr>
        <w:tabs>
          <w:tab w:val="center" w:pos="4680"/>
          <w:tab w:val="right" w:pos="9360"/>
        </w:tabs>
        <w:spacing w:after="120"/>
      </w:pPr>
      <w:r>
        <w:rPr>
          <w:rFonts w:ascii="Times New Roman" w:eastAsia="標楷體" w:hAnsi="Times New Roman"/>
        </w:rPr>
        <w:t xml:space="preserve">	</w:t>
      </w:r>
      <m:oMath>
        <m:r>
          <m:t>Ideal rate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𝟙(|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 ≤ 1.0)</m:t>
            </m:r>
          </m:e>
        </m:nary>
        <m:r>
          <m:t> × 100%</m:t>
        </m:r>
      </m:oMath>
      <w:r>
        <w:rPr>
          <w:rFonts w:ascii="Times New Roman" w:eastAsia="標楷體" w:hAnsi="Times New Roman"/>
          <w:sz w:val="24"/>
          <w:szCs w:val="24"/>
        </w:rPr>
        <w:t xml:space="preserve">	(8)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誤差與年齡之關係以 Spearman 相關檢定，性別間差異以 Wilcoxon 秩和檢定評估。所有隨機過程均固定種子；分析以 Python（Ultralytics、OpenCV）與 MATLAB（Deep Learning Toolbox）完成。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結果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YOLO 牙齒分割效能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表1 列出分割模型於驗證集與獨立測試集之效能（5 個訓練種子之 mean ± SD）。Mask mAP50 達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、mAP50–95 達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；測試集 26 張中無輸出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張、含碎塊（已剔除）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張。以同一套幾何量測比較預測遮罩與參考輪廓之像素長度，整體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px（相對誤差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%），上顎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px、下顎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px（表1 下半）。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表1  牙齒分割效能與像素層級長度誤差（5 個訓練種子 mean ± SD）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70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驗證集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測試集（n = 26）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mAP50–95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mAP50–95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】（逐張平均）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長度 MAE（px，全部）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長度 MAE（px，上顎 / 下顎）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 / 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平均相對誤差（%）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長度 bias（px）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來源：*_seed彙整_26.xlsx、B2_seed彙整_26n_padded.xlsx、B3_mask輔助對照_26n_padded.xlsx（長度vsGT，原圖列）。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尺度正規化與根管充填長度估測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長邊正規化將 px/mm 之變異係數由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【約 0.41】</w:t>
      </w:r>
      <w:r>
        <w:rPr>
          <w:rFonts w:ascii="Times New Roman" w:eastAsia="標楷體" w:hAnsi="Times New Roman"/>
          <w:sz w:val="24"/>
          <w:szCs w:val="24"/>
        </w:rPr>
        <w:t xml:space="preserve"> 降至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，像素長度與實際長度之相關由 r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提升至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。表2 比較未正規化與長邊正規化、以及是否加入年齡之 out-of-fold 效能。本研究採用之「長邊正規化 + 年齡」ANN 於校正後達 MAE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mm、RMSE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、R²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，理想比率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%，平均偏差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mm；線性對照組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mm。圖2 為校正後預測與實際長度之散布圖（附 ±1.0 mm 容忍線）。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表2  根管充填長度估測效能（ANN，out-of-fold，n = 26；10 次重複 × 5 個訓練種子之 mean ± SD）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900"/>
        <w:gridCol w:w="900"/>
        <w:gridCol w:w="12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輸入 / 模型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Bias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未正規化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年齡（本法）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年齡，線性迴歸對照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所有列均為扣除 0.5 mm 後之校正值；偏移不影響 R 與 R²。來源：預測結果與評估指標_kfold_26n_mask幾何_seed{s}.xlsx（列1）、…_mask幾何_長邊正規化_seed{s}.xlsx（列2）、…_mask幾何_長邊正規化_年齡_seed{s}.xlsx（列3 取 C 列、列4 取 E 列）。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【插入圖2：C2 圖 3（校正後散布圖）；可併排未校正散布圖與排序點圖為 (A)(B)(C)】</w:t>
      </w:r>
    </w:p>
    <w:p>
      <w:pPr>
        <w:pStyle w:val="Heading2"/>
        <w:spacing w:after="100" w:before="20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影像資訊之貢獻與誤差分析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表3 比較不同輸入之校正後效能。僅依牙位平均值之基線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mm，冠寬比例尺為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mm，長邊正規化 + 年齡為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mm；另加性別後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，顯示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【影像資訊相對牙位基線具/不具貢獻；年齡是否改善；性別是否再改善】</w:t>
      </w:r>
      <w:r>
        <w:rPr>
          <w:rFonts w:ascii="Times New Roman" w:eastAsia="標楷體" w:hAnsi="Times New Roman"/>
          <w:sz w:val="24"/>
          <w:szCs w:val="24"/>
        </w:rPr>
        <w:t xml:space="preserve">。誤差與年齡無/有顯著相關（Spearman ρ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）；女性與男性 MAE 分別為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與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mm（p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）。誤差最大之病例為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【檔名與原因，如備註 shortening/elongation、遮罩黏鄰牙】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表3  不同輸入設定之校正後 out-of-fold 效能（n = 26）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200"/>
        <w:gridCol w:w="180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輸入設定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牙位基準（不看影像）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冠寬比例尺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年齡（本法）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【插入圖3：C2 圖 4（誤差 vs 年齡／性別）】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待確認事項（交稿前刪除）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分割模型版本：程式為 yolo26n-seg.pt，圖1 寫 yolov11；全文與圖需統一。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參考論文用 4 位牙醫師標註並寫明年資、IRB、機型、感測器尺寸、解析度；本稿對應位置已留黃底。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分割訓練張數（A5 資料夾名含 268）、測試集 n = 26 之排除清單（B4 診斷檔）。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教科書平均冠寬/全長請核對 Wheeler's 並補引用；±1.0 mm 與 0.5 mm 之臨床依據請補文獻。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參考論文的分割效能表有 ORI vs PP 對照；若要類比，可補「無 CLAHE vs CLAHE」的分割 mAP 對照（程式 A5 有 noCLAHE 資料夾，似已準備）。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da8a2a72f09d9041d90172e767ed9e42071e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2026-10-20T03:39:26.361Z</dcterms:created>
  <dcterms:modified xsi:type="dcterms:W3CDTF">2026-10-20T03:39:26.368Z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