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696DB" w14:textId="77777777" w:rsidR="00CA6F67" w:rsidRDefault="00CA6F67" w:rsidP="001E5E2C">
      <w:pPr>
        <w:jc w:val="center"/>
      </w:pPr>
    </w:p>
    <w:p w14:paraId="3C963397" w14:textId="77777777" w:rsidR="001E5E2C" w:rsidRDefault="001E5E2C" w:rsidP="001E5E2C">
      <w:pPr>
        <w:jc w:val="center"/>
      </w:pPr>
    </w:p>
    <w:p w14:paraId="6945EE36" w14:textId="77777777" w:rsidR="001E5E2C" w:rsidRDefault="001E5E2C" w:rsidP="001E5E2C">
      <w:pPr>
        <w:jc w:val="center"/>
      </w:pPr>
    </w:p>
    <w:p w14:paraId="3AD07CF6" w14:textId="77777777" w:rsidR="001E5E2C" w:rsidRDefault="001E5E2C" w:rsidP="001E5E2C">
      <w:pPr>
        <w:jc w:val="center"/>
      </w:pPr>
    </w:p>
    <w:p w14:paraId="6B56C00F" w14:textId="77777777" w:rsidR="001E5E2C" w:rsidRDefault="001E5E2C" w:rsidP="001E5E2C">
      <w:pPr>
        <w:jc w:val="center"/>
      </w:pPr>
    </w:p>
    <w:p w14:paraId="7A12DF5B" w14:textId="77777777" w:rsidR="001E5E2C" w:rsidRDefault="001E5E2C" w:rsidP="001E5E2C">
      <w:pPr>
        <w:jc w:val="center"/>
      </w:pPr>
    </w:p>
    <w:p w14:paraId="410F9314" w14:textId="77777777" w:rsidR="001E5E2C" w:rsidRDefault="001E5E2C" w:rsidP="001E5E2C">
      <w:pPr>
        <w:jc w:val="center"/>
      </w:pPr>
    </w:p>
    <w:p w14:paraId="0D8A4B33" w14:textId="77777777" w:rsidR="001E5E2C" w:rsidRDefault="001E5E2C" w:rsidP="001E5E2C">
      <w:pPr>
        <w:jc w:val="center"/>
      </w:pPr>
    </w:p>
    <w:p w14:paraId="0D738A58" w14:textId="77777777" w:rsidR="001E5E2C" w:rsidRDefault="001E5E2C" w:rsidP="001E5E2C">
      <w:pPr>
        <w:jc w:val="center"/>
      </w:pPr>
    </w:p>
    <w:p w14:paraId="248F08E5" w14:textId="77777777" w:rsidR="001E5E2C" w:rsidRDefault="001E5E2C" w:rsidP="001E5E2C">
      <w:pPr>
        <w:jc w:val="center"/>
      </w:pPr>
    </w:p>
    <w:p w14:paraId="1E54F224" w14:textId="77777777" w:rsidR="001E5E2C" w:rsidRDefault="001E5E2C" w:rsidP="001E5E2C">
      <w:pPr>
        <w:jc w:val="center"/>
      </w:pPr>
    </w:p>
    <w:p w14:paraId="3BDA045A" w14:textId="77777777" w:rsidR="001E5E2C" w:rsidRDefault="001E5E2C" w:rsidP="001E5E2C">
      <w:pPr>
        <w:jc w:val="center"/>
      </w:pPr>
    </w:p>
    <w:p w14:paraId="35E5D028" w14:textId="77777777" w:rsidR="001E5E2C" w:rsidRDefault="001E5E2C" w:rsidP="001E5E2C">
      <w:pPr>
        <w:jc w:val="center"/>
      </w:pPr>
    </w:p>
    <w:p w14:paraId="4C6F51BE" w14:textId="77777777" w:rsidR="001E5E2C" w:rsidRDefault="001E5E2C" w:rsidP="001E5E2C">
      <w:pPr>
        <w:spacing w:line="480" w:lineRule="auto"/>
        <w:jc w:val="center"/>
      </w:pPr>
    </w:p>
    <w:p w14:paraId="659FBD3D" w14:textId="77777777" w:rsidR="001E5E2C" w:rsidRDefault="001E5E2C" w:rsidP="001E5E2C">
      <w:pPr>
        <w:spacing w:line="480" w:lineRule="auto"/>
        <w:jc w:val="center"/>
      </w:pPr>
    </w:p>
    <w:p w14:paraId="3C2BB77C" w14:textId="77777777" w:rsidR="001E5E2C" w:rsidRDefault="001E5E2C" w:rsidP="001E5E2C">
      <w:pPr>
        <w:spacing w:line="480" w:lineRule="auto"/>
        <w:jc w:val="center"/>
      </w:pPr>
      <w:r>
        <w:t>Nobel Energy Inc</w:t>
      </w:r>
      <w:r w:rsidR="0066443F">
        <w:t>.</w:t>
      </w:r>
    </w:p>
    <w:p w14:paraId="742AE038" w14:textId="77777777" w:rsidR="001E5E2C" w:rsidRDefault="001E5E2C" w:rsidP="001E5E2C">
      <w:pPr>
        <w:spacing w:line="480" w:lineRule="auto"/>
        <w:jc w:val="center"/>
      </w:pPr>
      <w:r>
        <w:t>5.875% Semi-annual Coupon Issue Maturing June 1</w:t>
      </w:r>
      <w:r w:rsidRPr="001E5E2C">
        <w:rPr>
          <w:vertAlign w:val="superscript"/>
        </w:rPr>
        <w:t>st</w:t>
      </w:r>
      <w:r>
        <w:t>, 2024</w:t>
      </w:r>
    </w:p>
    <w:p w14:paraId="2BE8ABD2" w14:textId="77777777" w:rsidR="001E5E2C" w:rsidRDefault="001E5E2C" w:rsidP="001E5E2C">
      <w:pPr>
        <w:spacing w:line="480" w:lineRule="auto"/>
        <w:jc w:val="center"/>
      </w:pPr>
    </w:p>
    <w:p w14:paraId="18146B49" w14:textId="77777777" w:rsidR="001E5E2C" w:rsidRDefault="001E5E2C" w:rsidP="001E5E2C">
      <w:pPr>
        <w:spacing w:line="480" w:lineRule="auto"/>
        <w:jc w:val="center"/>
      </w:pPr>
      <w:r>
        <w:t>Shiyu Song, Wenjing Zhao, Zhaochen Gao, Lin Zijian</w:t>
      </w:r>
    </w:p>
    <w:p w14:paraId="62649ABF" w14:textId="77777777" w:rsidR="001E5E2C" w:rsidRDefault="001E5E2C" w:rsidP="001E5E2C">
      <w:pPr>
        <w:spacing w:line="480" w:lineRule="auto"/>
        <w:jc w:val="center"/>
      </w:pPr>
      <w:r>
        <w:t>Professor Matt Marcinkowski</w:t>
      </w:r>
    </w:p>
    <w:p w14:paraId="48917950" w14:textId="14B3F42E" w:rsidR="001E5E2C" w:rsidRDefault="00346D6B" w:rsidP="001E5E2C">
      <w:pPr>
        <w:spacing w:line="480" w:lineRule="auto"/>
        <w:jc w:val="center"/>
      </w:pPr>
      <w:r>
        <w:t>November 9</w:t>
      </w:r>
      <w:bookmarkStart w:id="0" w:name="_GoBack"/>
      <w:bookmarkEnd w:id="0"/>
      <w:r w:rsidR="001E5E2C" w:rsidRPr="001E5E2C">
        <w:rPr>
          <w:vertAlign w:val="superscript"/>
        </w:rPr>
        <w:t>th</w:t>
      </w:r>
      <w:r w:rsidR="001E5E2C">
        <w:t>, 2016</w:t>
      </w:r>
    </w:p>
    <w:p w14:paraId="0FE7C96F" w14:textId="77777777" w:rsidR="001E5E2C" w:rsidRDefault="001E5E2C">
      <w:r>
        <w:br w:type="page"/>
      </w:r>
    </w:p>
    <w:p w14:paraId="7CA21391" w14:textId="77777777" w:rsidR="00D06F6E" w:rsidRDefault="00D06F6E" w:rsidP="00D06F6E">
      <w:pPr>
        <w:spacing w:line="480" w:lineRule="auto"/>
        <w:rPr>
          <w:rFonts w:ascii="Times New Roman" w:eastAsia="MS Mincho" w:hAnsi="Times New Roman" w:cs="Times New Roman"/>
          <w:b/>
          <w:color w:val="000000"/>
        </w:rPr>
      </w:pPr>
      <w:r w:rsidRPr="006431DA">
        <w:rPr>
          <w:rFonts w:ascii="Times New Roman" w:eastAsia="MS Mincho" w:hAnsi="Times New Roman" w:cs="Times New Roman"/>
          <w:b/>
          <w:color w:val="000000"/>
        </w:rPr>
        <w:lastRenderedPageBreak/>
        <w:t>Executive Summary</w:t>
      </w:r>
    </w:p>
    <w:p w14:paraId="70D59896" w14:textId="2BAE5A8C" w:rsidR="00D06F6E" w:rsidRPr="00A317D9" w:rsidRDefault="00D06F6E" w:rsidP="00D06F6E">
      <w:pPr>
        <w:spacing w:line="480" w:lineRule="auto"/>
        <w:rPr>
          <w:rFonts w:ascii="Times" w:hAnsi="Times" w:cs="Times New Roman"/>
        </w:rPr>
      </w:pPr>
      <w:r>
        <w:rPr>
          <w:rFonts w:ascii="Times New Roman" w:eastAsia="MS Mincho" w:hAnsi="Times New Roman" w:cs="Times New Roman"/>
          <w:b/>
          <w:color w:val="000000"/>
        </w:rPr>
        <w:tab/>
      </w:r>
      <w:r w:rsidRPr="00A317D9">
        <w:rPr>
          <w:rFonts w:ascii="Times" w:hAnsi="Times" w:cs="Times New Roman"/>
        </w:rPr>
        <w:t>Noble Energy Inc. is a company that specializes in petroleum and natural gas exploration and production.</w:t>
      </w:r>
      <w:r>
        <w:rPr>
          <w:rStyle w:val="FootnoteReference"/>
          <w:rFonts w:ascii="Times" w:hAnsi="Times" w:cs="Times New Roman"/>
        </w:rPr>
        <w:footnoteReference w:id="1"/>
      </w:r>
      <w:r w:rsidRPr="00A317D9">
        <w:rPr>
          <w:rFonts w:ascii="Times" w:hAnsi="Times" w:cs="Times New Roman"/>
        </w:rPr>
        <w:t xml:space="preserve"> The company issued a callable bond on the maturity date of June 1st, 2024 with a semiannual fixed coupon rate of 5.875%. According to Moody’s and Standard and Poor’s ratings, the bond credit rating for Noble Energy Inc.</w:t>
      </w:r>
      <w:r>
        <w:rPr>
          <w:rFonts w:ascii="Times" w:hAnsi="Times" w:cs="Times New Roman"/>
        </w:rPr>
        <w:t xml:space="preserve"> is Baa3 and BBB respectively, s</w:t>
      </w:r>
      <w:r w:rsidRPr="00A317D9">
        <w:rPr>
          <w:rFonts w:ascii="Times" w:hAnsi="Times" w:cs="Times New Roman"/>
        </w:rPr>
        <w:t>o it has good credit quality and can be c</w:t>
      </w:r>
      <w:r>
        <w:rPr>
          <w:rFonts w:ascii="Times" w:hAnsi="Times" w:cs="Times New Roman"/>
        </w:rPr>
        <w:t>onsidered as a good investment a</w:t>
      </w:r>
      <w:r w:rsidRPr="00A317D9">
        <w:rPr>
          <w:rFonts w:ascii="Times" w:hAnsi="Times" w:cs="Times New Roman"/>
        </w:rPr>
        <w:t>nd the credit rating of this bond has not fluctuated too much since its issuing which shows</w:t>
      </w:r>
      <w:r w:rsidR="00F13940">
        <w:rPr>
          <w:rFonts w:ascii="Times" w:hAnsi="Times" w:cs="Times New Roman"/>
        </w:rPr>
        <w:t xml:space="preserve"> the </w:t>
      </w:r>
      <w:r w:rsidRPr="00A317D9">
        <w:rPr>
          <w:rFonts w:ascii="Times" w:hAnsi="Times" w:cs="Times New Roman"/>
        </w:rPr>
        <w:t>company</w:t>
      </w:r>
      <w:r w:rsidR="00F13940">
        <w:rPr>
          <w:rFonts w:ascii="Times" w:hAnsi="Times" w:cs="Times New Roman"/>
        </w:rPr>
        <w:t xml:space="preserve"> has a stable </w:t>
      </w:r>
      <w:r w:rsidR="00493E71">
        <w:rPr>
          <w:rFonts w:ascii="Times" w:hAnsi="Times" w:cs="Times New Roman"/>
        </w:rPr>
        <w:t>performance</w:t>
      </w:r>
      <w:r w:rsidRPr="00A317D9">
        <w:rPr>
          <w:rFonts w:ascii="Times" w:hAnsi="Times" w:cs="Times New Roman"/>
        </w:rPr>
        <w:t xml:space="preserve">. </w:t>
      </w:r>
    </w:p>
    <w:p w14:paraId="4D4B9685" w14:textId="77777777" w:rsidR="00D06F6E" w:rsidRPr="00A317D9" w:rsidRDefault="00D06F6E" w:rsidP="00D06F6E">
      <w:pPr>
        <w:spacing w:line="480" w:lineRule="auto"/>
        <w:rPr>
          <w:rFonts w:ascii="Times" w:hAnsi="Times" w:cs="Times New Roman"/>
        </w:rPr>
      </w:pPr>
      <w:r w:rsidRPr="00A317D9">
        <w:rPr>
          <w:rFonts w:ascii="Times" w:hAnsi="Times" w:cs="Times New Roman"/>
        </w:rPr>
        <w:tab/>
        <w:t xml:space="preserve">The current yield to maturity of the bond is 4.849%, which is lower than the coupon rate. Therefore, the bond was purchased at a premium. The yield to maturity is the yield that investors will receive over the modified duration of the bond, which is 6.0209 years. </w:t>
      </w:r>
      <w:r w:rsidRPr="00D06F6E">
        <w:rPr>
          <w:rFonts w:ascii="Times" w:hAnsi="Times" w:cs="Times New Roman"/>
        </w:rPr>
        <w:t>Duration represents a measurement of how long it takes for the price of a bond to be repaid by its internal cash flows.</w:t>
      </w:r>
      <w:r w:rsidRPr="00A317D9">
        <w:rPr>
          <w:rFonts w:ascii="Times" w:hAnsi="Times" w:cs="Times New Roman"/>
        </w:rPr>
        <w:t xml:space="preserve"> The high duration shows that this bond would have high price volatility and relatively risky. The yield to first call is 4.308%, which is also less than the coupon rate. We can readily observe that investors would receive a lower return if the bond were to be called. </w:t>
      </w:r>
    </w:p>
    <w:p w14:paraId="67DA5909" w14:textId="140A354F" w:rsidR="00D06F6E" w:rsidRDefault="00D06F6E" w:rsidP="00D06F6E">
      <w:pPr>
        <w:spacing w:line="480" w:lineRule="auto"/>
        <w:rPr>
          <w:rFonts w:ascii="Times" w:hAnsi="Times" w:cs="Times New Roman"/>
          <w:lang w:eastAsia="zh-CN"/>
        </w:rPr>
      </w:pPr>
      <w:r w:rsidRPr="00A317D9">
        <w:rPr>
          <w:rFonts w:ascii="Times" w:hAnsi="Times" w:cs="Times New Roman"/>
        </w:rPr>
        <w:tab/>
        <w:t>Nobl</w:t>
      </w:r>
      <w:r>
        <w:rPr>
          <w:rFonts w:ascii="Times" w:hAnsi="Times" w:cs="Times New Roman"/>
        </w:rPr>
        <w:t>e Energy Inc. has similar</w:t>
      </w:r>
      <w:r w:rsidRPr="00A317D9">
        <w:rPr>
          <w:rFonts w:ascii="Times" w:hAnsi="Times" w:cs="Times New Roman"/>
        </w:rPr>
        <w:t xml:space="preserve"> return on assets and retur</w:t>
      </w:r>
      <w:r>
        <w:rPr>
          <w:rFonts w:ascii="Times" w:hAnsi="Times" w:cs="Times New Roman"/>
        </w:rPr>
        <w:t xml:space="preserve">n on equity compared with its main </w:t>
      </w:r>
      <w:r w:rsidRPr="00A317D9">
        <w:rPr>
          <w:rFonts w:ascii="Times" w:hAnsi="Times" w:cs="Times New Roman"/>
        </w:rPr>
        <w:t>compe</w:t>
      </w:r>
      <w:r>
        <w:rPr>
          <w:rFonts w:ascii="Times" w:hAnsi="Times" w:cs="Times New Roman"/>
        </w:rPr>
        <w:t>titor</w:t>
      </w:r>
      <w:r w:rsidRPr="00A317D9">
        <w:rPr>
          <w:rFonts w:ascii="Times" w:hAnsi="Times" w:cs="Times New Roman"/>
        </w:rPr>
        <w:t xml:space="preserve"> </w:t>
      </w:r>
      <w:r>
        <w:rPr>
          <w:rFonts w:ascii="Times New Roman" w:hAnsi="Times New Roman" w:cs="Times New Roman"/>
        </w:rPr>
        <w:t>Anadarko</w:t>
      </w:r>
      <w:r w:rsidRPr="00A317D9">
        <w:rPr>
          <w:rFonts w:ascii="Times" w:hAnsi="Times" w:cs="Times New Roman"/>
        </w:rPr>
        <w:t xml:space="preserve"> in the indu</w:t>
      </w:r>
      <w:r>
        <w:rPr>
          <w:rFonts w:ascii="Times" w:hAnsi="Times" w:cs="Times New Roman"/>
        </w:rPr>
        <w:t>stry</w:t>
      </w:r>
      <w:r>
        <w:rPr>
          <w:rStyle w:val="FootnoteReference"/>
          <w:rFonts w:ascii="Times" w:hAnsi="Times" w:cs="Times New Roman"/>
        </w:rPr>
        <w:footnoteReference w:id="2"/>
      </w:r>
      <w:r>
        <w:rPr>
          <w:rFonts w:ascii="Times" w:hAnsi="Times" w:cs="Times New Roman" w:hint="eastAsia"/>
          <w:lang w:eastAsia="zh-CN"/>
        </w:rPr>
        <w:t>, bu</w:t>
      </w:r>
      <w:r>
        <w:rPr>
          <w:rFonts w:ascii="Times" w:hAnsi="Times" w:cs="Times New Roman"/>
        </w:rPr>
        <w:t xml:space="preserve">t </w:t>
      </w:r>
      <w:r>
        <w:rPr>
          <w:rFonts w:ascii="Times" w:hAnsi="Times" w:cs="Times New Roman" w:hint="eastAsia"/>
          <w:lang w:eastAsia="zh-CN"/>
        </w:rPr>
        <w:t xml:space="preserve">it </w:t>
      </w:r>
      <w:r>
        <w:rPr>
          <w:rFonts w:ascii="Times" w:hAnsi="Times" w:cs="Times New Roman"/>
        </w:rPr>
        <w:t xml:space="preserve">has better </w:t>
      </w:r>
      <w:r w:rsidRPr="00A317D9">
        <w:rPr>
          <w:rFonts w:ascii="Times" w:hAnsi="Times" w:cs="Times New Roman"/>
        </w:rPr>
        <w:t>interest coverage ratio</w:t>
      </w:r>
      <w:r>
        <w:rPr>
          <w:rFonts w:ascii="Times" w:hAnsi="Times" w:cs="Times New Roman"/>
        </w:rPr>
        <w:t xml:space="preserve"> compared with Anadarko. </w:t>
      </w:r>
      <w:r w:rsidRPr="00A317D9">
        <w:rPr>
          <w:rFonts w:ascii="Times" w:hAnsi="Times" w:cs="Times New Roman"/>
        </w:rPr>
        <w:t>ROA and ROE shows its efficiency of management and profitability.</w:t>
      </w:r>
      <w:r>
        <w:rPr>
          <w:rFonts w:ascii="Times" w:hAnsi="Times" w:cs="Times New Roman"/>
        </w:rPr>
        <w:t xml:space="preserve"> However, compared with the performance</w:t>
      </w:r>
      <w:r>
        <w:rPr>
          <w:rFonts w:ascii="Times" w:hAnsi="Times" w:cs="Times New Roman" w:hint="eastAsia"/>
          <w:lang w:eastAsia="zh-CN"/>
        </w:rPr>
        <w:t xml:space="preserve"> of</w:t>
      </w:r>
      <w:r>
        <w:rPr>
          <w:rFonts w:ascii="Times" w:hAnsi="Times" w:cs="Times New Roman"/>
        </w:rPr>
        <w:t xml:space="preserve"> </w:t>
      </w:r>
      <w:r>
        <w:rPr>
          <w:rFonts w:ascii="Times" w:hAnsi="Times" w:cs="Times New Roman"/>
          <w:lang w:eastAsia="zh-CN"/>
        </w:rPr>
        <w:t>industry</w:t>
      </w:r>
      <w:r>
        <w:rPr>
          <w:rFonts w:ascii="Times" w:hAnsi="Times" w:cs="Times New Roman" w:hint="eastAsia"/>
          <w:lang w:eastAsia="zh-CN"/>
        </w:rPr>
        <w:t xml:space="preserve"> leaders, the bond of Noble Energy Inc. is still considered risky, because of its negative ROE and ROA.</w:t>
      </w:r>
    </w:p>
    <w:p w14:paraId="3E969D9D" w14:textId="77777777" w:rsidR="00D06F6E" w:rsidRPr="00A317D9" w:rsidRDefault="00D06F6E" w:rsidP="00D06F6E">
      <w:pPr>
        <w:spacing w:line="480" w:lineRule="auto"/>
        <w:ind w:firstLine="720"/>
        <w:rPr>
          <w:rFonts w:ascii="Times" w:hAnsi="Times" w:cs="Times New Roman"/>
        </w:rPr>
      </w:pPr>
      <w:r w:rsidRPr="00D06F6E">
        <w:rPr>
          <w:rFonts w:ascii="Times" w:hAnsi="Times" w:cs="Times New Roman"/>
        </w:rPr>
        <w:lastRenderedPageBreak/>
        <w:t>Based on analyses of Noble Energy Inc.’s financial statements and industry comparisons, for risk-averse investors, Noble Energy Inc.’s corporate bond may be risky for them to consider.</w:t>
      </w:r>
      <w:r w:rsidRPr="00A317D9">
        <w:rPr>
          <w:rFonts w:ascii="Times" w:hAnsi="Times" w:cs="Times New Roman"/>
        </w:rPr>
        <w:t xml:space="preserve"> </w:t>
      </w:r>
    </w:p>
    <w:p w14:paraId="332966BA" w14:textId="77777777" w:rsidR="00D06F6E" w:rsidRPr="008F1248" w:rsidRDefault="00D06F6E" w:rsidP="00D06F6E">
      <w:pPr>
        <w:spacing w:line="480" w:lineRule="auto"/>
        <w:rPr>
          <w:rFonts w:ascii="Times New Roman" w:hAnsi="Times New Roman" w:cs="Times New Roman"/>
          <w:b/>
        </w:rPr>
      </w:pPr>
      <w:r w:rsidRPr="008F1248">
        <w:rPr>
          <w:rFonts w:ascii="Times New Roman" w:hAnsi="Times New Roman" w:cs="Times New Roman"/>
          <w:b/>
        </w:rPr>
        <w:t>Introduction</w:t>
      </w:r>
    </w:p>
    <w:p w14:paraId="5656CD7A" w14:textId="77777777" w:rsidR="00D06F6E" w:rsidRDefault="00D06F6E" w:rsidP="00D06F6E">
      <w:pPr>
        <w:spacing w:line="480" w:lineRule="auto"/>
        <w:ind w:firstLine="420"/>
        <w:rPr>
          <w:rFonts w:ascii="Times New Roman" w:hAnsi="Times New Roman" w:cs="Times New Roman"/>
        </w:rPr>
      </w:pPr>
      <w:r>
        <w:rPr>
          <w:rFonts w:ascii="Times New Roman" w:hAnsi="Times New Roman" w:cs="Times New Roman"/>
        </w:rPr>
        <w:t>Noble Energy</w:t>
      </w:r>
      <w:r>
        <w:rPr>
          <w:rFonts w:ascii="Times New Roman" w:hAnsi="Times New Roman" w:cs="Times New Roman" w:hint="eastAsia"/>
        </w:rPr>
        <w:t xml:space="preserve"> is </w:t>
      </w:r>
      <w:r>
        <w:rPr>
          <w:rFonts w:ascii="Times New Roman" w:hAnsi="Times New Roman" w:cs="Times New Roman"/>
        </w:rPr>
        <w:t>a global company established in 1932 and has reached a great success in production and exploitation of oil and natural gas with a high quality portfolio of both U.S. unconventional and global offshore assets over three continents</w:t>
      </w:r>
      <w:r>
        <w:rPr>
          <w:rStyle w:val="FootnoteReference"/>
          <w:rFonts w:ascii="Times New Roman" w:hAnsi="Times New Roman" w:cs="Times New Roman"/>
        </w:rPr>
        <w:footnoteReference w:id="3"/>
      </w:r>
      <w:r>
        <w:rPr>
          <w:rFonts w:ascii="Times New Roman" w:hAnsi="Times New Roman" w:cs="Times New Roman"/>
        </w:rPr>
        <w:t>. Its main goal is to offer safe and responsible exploitation and production of oil and natural gas throughout the world</w:t>
      </w:r>
      <w:r>
        <w:rPr>
          <w:rStyle w:val="FootnoteReference"/>
          <w:rFonts w:ascii="Times New Roman" w:hAnsi="Times New Roman" w:cs="Times New Roman"/>
        </w:rPr>
        <w:footnoteReference w:id="4"/>
      </w:r>
      <w:r>
        <w:rPr>
          <w:rFonts w:ascii="Times New Roman" w:hAnsi="Times New Roman" w:cs="Times New Roman"/>
        </w:rPr>
        <w:t xml:space="preserve">. In addition to this, Noble Energy has been able to efficiently undertake large development projects based on energy discovery. For career in Noble Energy, it emphasizes workforce diversity, leadership and innovation. </w:t>
      </w:r>
    </w:p>
    <w:p w14:paraId="5B15AE57" w14:textId="77777777" w:rsidR="00D06F6E" w:rsidRDefault="00D06F6E" w:rsidP="00D06F6E">
      <w:pPr>
        <w:spacing w:line="480" w:lineRule="auto"/>
        <w:ind w:firstLine="420"/>
        <w:rPr>
          <w:rFonts w:ascii="Times New Roman" w:hAnsi="Times New Roman" w:cs="Times New Roman"/>
        </w:rPr>
      </w:pPr>
      <w:r>
        <w:rPr>
          <w:rFonts w:ascii="Times New Roman" w:hAnsi="Times New Roman" w:cs="Times New Roman"/>
        </w:rPr>
        <w:t>In terms of company size, the number of employees in Noble Energy is 2397 in 2015, which is smaller than that in 2013 and 2014</w:t>
      </w:r>
      <w:r>
        <w:rPr>
          <w:rStyle w:val="FootnoteReference"/>
          <w:rFonts w:ascii="Times New Roman" w:hAnsi="Times New Roman" w:cs="Times New Roman"/>
        </w:rPr>
        <w:footnoteReference w:id="5"/>
      </w:r>
      <w:r>
        <w:rPr>
          <w:rFonts w:ascii="Times New Roman" w:hAnsi="Times New Roman" w:cs="Times New Roman"/>
        </w:rPr>
        <w:t>. For the asset value, according to Yahoo Finance, the total current assets and the total assets on December 31</w:t>
      </w:r>
      <w:r w:rsidRPr="00FF5197">
        <w:rPr>
          <w:rFonts w:ascii="Times New Roman" w:hAnsi="Times New Roman" w:cs="Times New Roman"/>
          <w:vertAlign w:val="superscript"/>
        </w:rPr>
        <w:t>th</w:t>
      </w:r>
      <w:r>
        <w:rPr>
          <w:rFonts w:ascii="Times New Roman" w:hAnsi="Times New Roman" w:cs="Times New Roman"/>
        </w:rPr>
        <w:t xml:space="preserve"> 2015 are respectively $2276000 and $24196000</w:t>
      </w:r>
      <w:r>
        <w:rPr>
          <w:rStyle w:val="FootnoteReference"/>
          <w:rFonts w:ascii="Times New Roman" w:hAnsi="Times New Roman" w:cs="Times New Roman"/>
        </w:rPr>
        <w:footnoteReference w:id="6"/>
      </w:r>
      <w:r>
        <w:rPr>
          <w:rFonts w:ascii="Times New Roman" w:hAnsi="Times New Roman" w:cs="Times New Roman"/>
        </w:rPr>
        <w:t>. Also, the total liabilities on December 31</w:t>
      </w:r>
      <w:r w:rsidRPr="00FF5197">
        <w:rPr>
          <w:rFonts w:ascii="Times New Roman" w:hAnsi="Times New Roman" w:cs="Times New Roman"/>
          <w:vertAlign w:val="superscript"/>
        </w:rPr>
        <w:t>th</w:t>
      </w:r>
      <w:r>
        <w:rPr>
          <w:rFonts w:ascii="Times New Roman" w:hAnsi="Times New Roman" w:cs="Times New Roman"/>
          <w:vertAlign w:val="superscript"/>
        </w:rPr>
        <w:t xml:space="preserve"> </w:t>
      </w:r>
      <w:r>
        <w:rPr>
          <w:rFonts w:ascii="Times New Roman" w:hAnsi="Times New Roman" w:cs="Times New Roman"/>
        </w:rPr>
        <w:t>2015 are $13826000, and it continuously increased over the past three years. On the other hand, the net income of Noble Energy decreased from $121400 in 2014 to $-2441000 in 2015</w:t>
      </w:r>
      <w:r>
        <w:rPr>
          <w:rStyle w:val="FootnoteReference"/>
          <w:rFonts w:ascii="Times New Roman" w:hAnsi="Times New Roman" w:cs="Times New Roman"/>
        </w:rPr>
        <w:footnoteReference w:id="7"/>
      </w:r>
      <w:r>
        <w:rPr>
          <w:rFonts w:ascii="Times New Roman" w:hAnsi="Times New Roman" w:cs="Times New Roman"/>
        </w:rPr>
        <w:t xml:space="preserve">, which implies that the increased potential risk for investors lending Noble Energy money. </w:t>
      </w:r>
      <w:r w:rsidRPr="00D06F6E">
        <w:rPr>
          <w:rFonts w:ascii="Times New Roman" w:hAnsi="Times New Roman" w:cs="Times New Roman"/>
        </w:rPr>
        <w:t xml:space="preserve">For the significance in the industry, Noble Energy has $ 16.04 billion of market </w:t>
      </w:r>
      <w:r w:rsidRPr="00D06F6E">
        <w:rPr>
          <w:rFonts w:ascii="Times New Roman" w:hAnsi="Times New Roman" w:cs="Times New Roman"/>
        </w:rPr>
        <w:lastRenderedPageBreak/>
        <w:t>capital, which is only 0.39% of total market capital in the industry</w:t>
      </w:r>
      <w:r w:rsidRPr="00D06F6E">
        <w:rPr>
          <w:rStyle w:val="FootnoteReference"/>
          <w:rFonts w:ascii="Times New Roman" w:hAnsi="Times New Roman" w:cs="Times New Roman"/>
        </w:rPr>
        <w:footnoteReference w:id="8"/>
      </w:r>
      <w:r w:rsidRPr="00D06F6E">
        <w:rPr>
          <w:rFonts w:ascii="Times New Roman" w:hAnsi="Times New Roman" w:cs="Times New Roman"/>
        </w:rPr>
        <w:t>, indicates the influences of its decision-making or growth on the whole industry is not big.</w:t>
      </w:r>
      <w:r>
        <w:rPr>
          <w:rFonts w:ascii="Times New Roman" w:hAnsi="Times New Roman" w:cs="Times New Roman"/>
        </w:rPr>
        <w:t xml:space="preserve"> </w:t>
      </w:r>
    </w:p>
    <w:p w14:paraId="69CE2475" w14:textId="77777777" w:rsidR="00D06F6E" w:rsidRDefault="00D06F6E" w:rsidP="00D06F6E">
      <w:pPr>
        <w:spacing w:line="480" w:lineRule="auto"/>
        <w:ind w:firstLine="420"/>
        <w:rPr>
          <w:rFonts w:ascii="Times New Roman" w:hAnsi="Times New Roman" w:cs="Times New Roman"/>
        </w:rPr>
      </w:pPr>
      <w:r>
        <w:rPr>
          <w:rFonts w:ascii="Times New Roman" w:hAnsi="Times New Roman" w:cs="Times New Roman"/>
        </w:rPr>
        <w:t xml:space="preserve">The challenge that Noble Energy faces is the increased long-term debts because of recent outperformance when oil and gas prices went down. Unlike Anadarko, one of the largest independent oil and gas exploration and production company which has an enormously amount of oil reserve in the world, Noble Energy cannot offset its loss of decreased prices by its oil reserve. </w:t>
      </w:r>
      <w:r>
        <w:rPr>
          <w:rFonts w:ascii="Times New Roman" w:hAnsi="Times New Roman" w:cs="Times New Roman" w:hint="eastAsia"/>
        </w:rPr>
        <w:t>Ano</w:t>
      </w:r>
      <w:r>
        <w:rPr>
          <w:rFonts w:ascii="Times New Roman" w:hAnsi="Times New Roman" w:cs="Times New Roman"/>
        </w:rPr>
        <w:t>ther challenge is the environmental protection in the process of exploitation, which also increases the operation cost for Noble Energy. The opportunity that it can seize is the technology advance such as horizontal drilling so that more oil can be exported in the areas where oil could not be drilled in the past. Thus it can increase the oil reserve for Noble Energy with the new technology.</w:t>
      </w:r>
    </w:p>
    <w:p w14:paraId="24598914" w14:textId="77777777" w:rsidR="00D06F6E" w:rsidRDefault="00D06F6E" w:rsidP="00D06F6E">
      <w:pPr>
        <w:spacing w:line="480" w:lineRule="auto"/>
        <w:ind w:firstLine="420"/>
        <w:rPr>
          <w:rFonts w:ascii="Times New Roman" w:hAnsi="Times New Roman" w:cs="Times New Roman"/>
        </w:rPr>
      </w:pPr>
      <w:r>
        <w:rPr>
          <w:rFonts w:ascii="Times New Roman" w:hAnsi="Times New Roman" w:cs="Times New Roman"/>
        </w:rPr>
        <w:t xml:space="preserve">In order to examine the leverage and coverage ratio of Noble Energy, the big competitor Anadarko is also analyzed by comparisons of their financial ratios. For </w:t>
      </w:r>
      <w:r>
        <w:rPr>
          <w:rFonts w:ascii="Times New Roman" w:hAnsi="Times New Roman" w:cs="Times New Roman" w:hint="eastAsia"/>
        </w:rPr>
        <w:t>RO</w:t>
      </w:r>
      <w:r>
        <w:rPr>
          <w:rFonts w:ascii="Times New Roman" w:hAnsi="Times New Roman" w:cs="Times New Roman"/>
        </w:rPr>
        <w:t>A</w:t>
      </w:r>
      <w:r>
        <w:rPr>
          <w:rFonts w:ascii="Times New Roman" w:hAnsi="Times New Roman" w:cs="Times New Roman" w:hint="eastAsia"/>
        </w:rPr>
        <w:t xml:space="preserve"> and RO</w:t>
      </w:r>
      <w:r>
        <w:rPr>
          <w:rFonts w:ascii="Times New Roman" w:hAnsi="Times New Roman" w:cs="Times New Roman"/>
        </w:rPr>
        <w:t>E</w:t>
      </w:r>
      <w:r>
        <w:rPr>
          <w:rFonts w:ascii="Times New Roman" w:hAnsi="Times New Roman" w:cs="Times New Roman" w:hint="eastAsia"/>
        </w:rPr>
        <w:t xml:space="preserve">, Noble Energy </w:t>
      </w:r>
      <w:r>
        <w:rPr>
          <w:rFonts w:ascii="Times New Roman" w:hAnsi="Times New Roman" w:cs="Times New Roman"/>
        </w:rPr>
        <w:t>has -4.39% and -24.88% respectively</w:t>
      </w:r>
      <w:r>
        <w:rPr>
          <w:rStyle w:val="FootnoteReference"/>
          <w:rFonts w:ascii="Times New Roman" w:hAnsi="Times New Roman" w:cs="Times New Roman"/>
        </w:rPr>
        <w:footnoteReference w:id="9"/>
      </w:r>
      <w:r>
        <w:rPr>
          <w:rFonts w:ascii="Times New Roman" w:hAnsi="Times New Roman" w:cs="Times New Roman"/>
        </w:rPr>
        <w:t>, and those of Anadarko are almost the same: -4.38% and -23.54% respectively</w:t>
      </w:r>
      <w:r>
        <w:rPr>
          <w:rStyle w:val="FootnoteReference"/>
          <w:rFonts w:ascii="Times New Roman" w:hAnsi="Times New Roman" w:cs="Times New Roman"/>
        </w:rPr>
        <w:footnoteReference w:id="10"/>
      </w:r>
      <w:r>
        <w:rPr>
          <w:rFonts w:ascii="Times New Roman" w:hAnsi="Times New Roman" w:cs="Times New Roman"/>
        </w:rPr>
        <w:t xml:space="preserve">. It indicates that both Noble Energy and Anadarko did not efficiently use the assets or investment to make profit, and generated negative net income and undesirable future expectation. In terms of </w:t>
      </w:r>
      <w:r>
        <w:rPr>
          <w:rFonts w:ascii="Times New Roman" w:hAnsi="Times New Roman" w:cs="Times New Roman" w:hint="eastAsia"/>
        </w:rPr>
        <w:t>debt</w:t>
      </w:r>
      <w:r>
        <w:rPr>
          <w:rFonts w:ascii="Times New Roman" w:hAnsi="Times New Roman" w:cs="Times New Roman"/>
        </w:rPr>
        <w:t xml:space="preserve"> to equity ratio and current ratio on September 30, 2016, Noble Energy has 79.78% and 1.82</w:t>
      </w:r>
      <w:r>
        <w:rPr>
          <w:rStyle w:val="FootnoteReference"/>
          <w:rFonts w:ascii="Times New Roman" w:hAnsi="Times New Roman" w:cs="Times New Roman"/>
        </w:rPr>
        <w:footnoteReference w:id="11"/>
      </w:r>
      <w:r>
        <w:rPr>
          <w:rFonts w:ascii="Times New Roman" w:hAnsi="Times New Roman" w:cs="Times New Roman"/>
        </w:rPr>
        <w:t>, while Anadarko has 111.44% and 1.57</w:t>
      </w:r>
      <w:r>
        <w:rPr>
          <w:rStyle w:val="FootnoteReference"/>
          <w:rFonts w:ascii="Times New Roman" w:hAnsi="Times New Roman" w:cs="Times New Roman"/>
        </w:rPr>
        <w:footnoteReference w:id="12"/>
      </w:r>
      <w:r>
        <w:rPr>
          <w:rFonts w:ascii="Times New Roman" w:hAnsi="Times New Roman" w:cs="Times New Roman"/>
        </w:rPr>
        <w:t xml:space="preserve">. This means that Anadarko borrows more </w:t>
      </w:r>
      <w:r>
        <w:rPr>
          <w:rFonts w:ascii="Times New Roman" w:hAnsi="Times New Roman" w:cs="Times New Roman"/>
        </w:rPr>
        <w:lastRenderedPageBreak/>
        <w:t>money to support its operations than Noble Energy does relative to their investment and they are both able to pay short-term and long-term obligations on time. In addition, Noble Energy has an interest coverage ratio of -7.44 (-1956000/263000)</w:t>
      </w:r>
      <w:r>
        <w:rPr>
          <w:rStyle w:val="FootnoteReference"/>
          <w:rFonts w:ascii="Times New Roman" w:hAnsi="Times New Roman" w:cs="Times New Roman"/>
        </w:rPr>
        <w:footnoteReference w:id="13"/>
      </w:r>
      <w:r>
        <w:rPr>
          <w:rFonts w:ascii="Times New Roman" w:hAnsi="Times New Roman" w:cs="Times New Roman"/>
        </w:rPr>
        <w:t xml:space="preserve"> whereas Anadarko has a -10.74 (-8864000/825000)</w:t>
      </w:r>
      <w:r>
        <w:rPr>
          <w:rStyle w:val="FootnoteReference"/>
          <w:rFonts w:ascii="Times New Roman" w:hAnsi="Times New Roman" w:cs="Times New Roman"/>
        </w:rPr>
        <w:footnoteReference w:id="14"/>
      </w:r>
      <w:r>
        <w:rPr>
          <w:rFonts w:ascii="Times New Roman" w:hAnsi="Times New Roman" w:cs="Times New Roman"/>
        </w:rPr>
        <w:t xml:space="preserve">, which shows that Noble Energy is able to repay the interest on debt more easily. </w:t>
      </w:r>
    </w:p>
    <w:p w14:paraId="19EC7F50" w14:textId="77777777" w:rsidR="00D06F6E" w:rsidRPr="00520A69" w:rsidRDefault="00D06F6E" w:rsidP="00D06F6E">
      <w:pPr>
        <w:spacing w:line="480" w:lineRule="auto"/>
        <w:ind w:firstLine="4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above analysis of their ability to pay debts, they both borrow a lot of money to support business activities, but Noble Energy has stronger ability to repay the interest on debt than its competitor. Thus Noble Energy demonstrates a healthier financial situation in terms of responsibility to make promised payments of bond.</w:t>
      </w:r>
    </w:p>
    <w:p w14:paraId="109FCEC2" w14:textId="77777777" w:rsidR="001E5E2C" w:rsidRPr="00670834" w:rsidRDefault="001E5E2C" w:rsidP="00244DD7">
      <w:pPr>
        <w:spacing w:line="480" w:lineRule="auto"/>
        <w:rPr>
          <w:rFonts w:ascii="Times New Roman" w:hAnsi="Times New Roman"/>
          <w:b/>
        </w:rPr>
      </w:pPr>
      <w:r w:rsidRPr="00670834">
        <w:rPr>
          <w:rFonts w:ascii="Times New Roman" w:hAnsi="Times New Roman"/>
          <w:b/>
        </w:rPr>
        <w:t>Bond Issue Characteristics</w:t>
      </w:r>
    </w:p>
    <w:p w14:paraId="5DCBA372" w14:textId="77777777" w:rsidR="001E5E2C" w:rsidRPr="00670834" w:rsidRDefault="001E5E2C" w:rsidP="00670834">
      <w:pPr>
        <w:spacing w:line="480" w:lineRule="auto"/>
        <w:ind w:firstLineChars="200" w:firstLine="480"/>
        <w:rPr>
          <w:rFonts w:ascii="Times New Roman" w:hAnsi="Times New Roman"/>
        </w:rPr>
      </w:pPr>
      <w:r w:rsidRPr="00670834">
        <w:rPr>
          <w:rFonts w:ascii="Times New Roman" w:hAnsi="Times New Roman"/>
        </w:rPr>
        <w:t>Noble Energy, Inc. issued an U.S Corporate bond with c</w:t>
      </w:r>
      <w:r w:rsidR="00244DD7" w:rsidRPr="00670834">
        <w:rPr>
          <w:rFonts w:ascii="Times New Roman" w:hAnsi="Times New Roman"/>
        </w:rPr>
        <w:t>oupon rate equals to 5.875% and</w:t>
      </w:r>
      <w:r w:rsidRPr="00670834">
        <w:rPr>
          <w:rFonts w:ascii="Times New Roman" w:hAnsi="Times New Roman"/>
        </w:rPr>
        <w:t xml:space="preserve"> maturity date on June 1</w:t>
      </w:r>
      <w:r w:rsidRPr="00670834">
        <w:rPr>
          <w:rFonts w:ascii="Times New Roman" w:hAnsi="Times New Roman"/>
          <w:vertAlign w:val="superscript"/>
        </w:rPr>
        <w:t>st</w:t>
      </w:r>
      <w:r w:rsidRPr="00670834">
        <w:rPr>
          <w:rFonts w:ascii="Times New Roman" w:hAnsi="Times New Roman"/>
        </w:rPr>
        <w:t>, 2024, paying coupon payments semi-annually on the December 1</w:t>
      </w:r>
      <w:r w:rsidRPr="00670834">
        <w:rPr>
          <w:rFonts w:ascii="Times New Roman" w:hAnsi="Times New Roman"/>
          <w:vertAlign w:val="superscript"/>
        </w:rPr>
        <w:t>st</w:t>
      </w:r>
      <w:r w:rsidRPr="00670834">
        <w:rPr>
          <w:rFonts w:ascii="Times New Roman" w:hAnsi="Times New Roman"/>
        </w:rPr>
        <w:t xml:space="preserve"> and June 1</w:t>
      </w:r>
      <w:r w:rsidRPr="00670834">
        <w:rPr>
          <w:rFonts w:ascii="Times New Roman" w:hAnsi="Times New Roman"/>
          <w:vertAlign w:val="superscript"/>
        </w:rPr>
        <w:t>st</w:t>
      </w:r>
      <w:r w:rsidRPr="00670834">
        <w:rPr>
          <w:rFonts w:ascii="Times New Roman" w:hAnsi="Times New Roman"/>
        </w:rPr>
        <w:t xml:space="preserve"> every year until maturity. This bond is continuously callable starting June 1</w:t>
      </w:r>
      <w:r w:rsidRPr="00670834">
        <w:rPr>
          <w:rFonts w:ascii="Times New Roman" w:hAnsi="Times New Roman"/>
          <w:vertAlign w:val="superscript"/>
        </w:rPr>
        <w:t>st</w:t>
      </w:r>
      <w:r w:rsidRPr="00670834">
        <w:rPr>
          <w:rFonts w:ascii="Times New Roman" w:hAnsi="Times New Roman"/>
        </w:rPr>
        <w:t>, 2019 with a call price $102.938.</w:t>
      </w:r>
      <w:r w:rsidRPr="00670834">
        <w:rPr>
          <w:rStyle w:val="FootnoteReference"/>
          <w:rFonts w:ascii="Times New Roman" w:hAnsi="Times New Roman"/>
        </w:rPr>
        <w:footnoteReference w:id="15"/>
      </w:r>
    </w:p>
    <w:p w14:paraId="684A2461" w14:textId="77777777" w:rsidR="001E5E2C" w:rsidRPr="00670834" w:rsidRDefault="001E5E2C" w:rsidP="00670834">
      <w:pPr>
        <w:spacing w:line="480" w:lineRule="auto"/>
        <w:ind w:firstLineChars="200" w:firstLine="480"/>
        <w:rPr>
          <w:rFonts w:ascii="Times New Roman" w:hAnsi="Times New Roman" w:cs="Times New Roman"/>
        </w:rPr>
      </w:pPr>
      <w:r w:rsidRPr="00670834">
        <w:rPr>
          <w:rFonts w:ascii="Times New Roman" w:hAnsi="Times New Roman"/>
        </w:rPr>
        <w:t>Covenants are design to protect the well being of investors. This includes filling reports on company’s information, limitation on liens, merger and consolidation prohibition.</w:t>
      </w:r>
      <w:r w:rsidRPr="00670834">
        <w:rPr>
          <w:rStyle w:val="FootnoteReference"/>
          <w:rFonts w:ascii="Times New Roman" w:hAnsi="Times New Roman"/>
        </w:rPr>
        <w:footnoteReference w:id="16"/>
      </w:r>
      <w:r w:rsidRPr="00670834">
        <w:rPr>
          <w:rFonts w:ascii="Times New Roman" w:hAnsi="Times New Roman"/>
        </w:rPr>
        <w:t xml:space="preserve"> </w:t>
      </w:r>
      <w:r w:rsidRPr="00670834">
        <w:rPr>
          <w:rFonts w:ascii="Times New Roman" w:hAnsi="Times New Roman" w:cs="Times New Roman"/>
        </w:rPr>
        <w:t>This bond is senior unsecured in terms of ranking for repayment.</w:t>
      </w:r>
      <w:r w:rsidRPr="00670834">
        <w:rPr>
          <w:rStyle w:val="FootnoteReference"/>
          <w:rFonts w:ascii="Times New Roman" w:hAnsi="Times New Roman" w:cs="Times New Roman"/>
        </w:rPr>
        <w:footnoteReference w:id="17"/>
      </w:r>
      <w:r w:rsidR="00244DD7" w:rsidRPr="00670834">
        <w:rPr>
          <w:rFonts w:ascii="Times New Roman" w:hAnsi="Times New Roman" w:cs="Times New Roman"/>
        </w:rPr>
        <w:t xml:space="preserve"> </w:t>
      </w:r>
      <w:r w:rsidRPr="00670834">
        <w:rPr>
          <w:rFonts w:ascii="Times New Roman" w:hAnsi="Times New Roman" w:cs="Times New Roman"/>
        </w:rPr>
        <w:t xml:space="preserve">This </w:t>
      </w:r>
      <w:r w:rsidRPr="00670834">
        <w:rPr>
          <w:rFonts w:ascii="Times New Roman" w:hAnsi="Times New Roman" w:cs="Times New Roman"/>
        </w:rPr>
        <w:lastRenderedPageBreak/>
        <w:t>indicates that the bond does not have physical assets as collaterals, and the loan payments will be fulfilled before other obligations.</w:t>
      </w:r>
    </w:p>
    <w:p w14:paraId="7F628084" w14:textId="77777777" w:rsidR="001E5E2C" w:rsidRPr="00670834" w:rsidRDefault="001E5E2C" w:rsidP="00670834">
      <w:pPr>
        <w:spacing w:line="480" w:lineRule="auto"/>
        <w:ind w:firstLineChars="200" w:firstLine="480"/>
        <w:rPr>
          <w:rFonts w:ascii="Times New Roman" w:hAnsi="Times New Roman" w:cs="Times New Roman"/>
          <w:lang w:eastAsia="zh-CN"/>
        </w:rPr>
      </w:pPr>
      <w:r w:rsidRPr="00670834">
        <w:rPr>
          <w:rFonts w:ascii="Times New Roman" w:hAnsi="Times New Roman" w:cs="Times New Roman"/>
        </w:rPr>
        <w:t>The bond currently had a Baa3 on Moody’s Rating and a BBB on the Standard &amp; Poor’s rating.</w:t>
      </w:r>
      <w:r w:rsidRPr="00670834">
        <w:rPr>
          <w:rStyle w:val="FootnoteReference"/>
          <w:rFonts w:ascii="Times New Roman" w:hAnsi="Times New Roman" w:cs="Times New Roman"/>
        </w:rPr>
        <w:footnoteReference w:id="18"/>
      </w:r>
      <w:r w:rsidR="00244DD7" w:rsidRPr="00670834">
        <w:rPr>
          <w:rFonts w:ascii="Times New Roman" w:hAnsi="Times New Roman" w:cs="Times New Roman"/>
        </w:rPr>
        <w:t xml:space="preserve"> </w:t>
      </w:r>
      <w:r w:rsidRPr="00670834">
        <w:rPr>
          <w:rFonts w:ascii="Times New Roman" w:hAnsi="Times New Roman" w:cs="Times New Roman"/>
        </w:rPr>
        <w:t xml:space="preserve">The rating on Moody’s rating is one level lower than the </w:t>
      </w:r>
      <w:r w:rsidR="00244DD7" w:rsidRPr="00670834">
        <w:rPr>
          <w:rFonts w:ascii="Times New Roman" w:hAnsi="Times New Roman" w:cs="Times New Roman"/>
        </w:rPr>
        <w:t>Standard &amp; Poor</w:t>
      </w:r>
      <w:r w:rsidRPr="00670834">
        <w:rPr>
          <w:rFonts w:ascii="Times New Roman" w:hAnsi="Times New Roman" w:cs="Times New Roman"/>
        </w:rPr>
        <w:t xml:space="preserve">’s rating, but both ratings indicate that this bond is in the investment-grade. Hence, this bond is relatively less risky and is considered a good </w:t>
      </w:r>
      <w:r w:rsidR="00D62B76" w:rsidRPr="00670834">
        <w:rPr>
          <w:rFonts w:ascii="Times New Roman" w:hAnsi="Times New Roman" w:cs="Times New Roman"/>
        </w:rPr>
        <w:t xml:space="preserve">choice </w:t>
      </w:r>
      <w:r w:rsidRPr="00670834">
        <w:rPr>
          <w:rFonts w:ascii="Times New Roman" w:hAnsi="Times New Roman" w:cs="Times New Roman"/>
        </w:rPr>
        <w:t>for long-term investment. However, Noble was downgraded by Moody’s from Baa2 to Baa3.</w:t>
      </w:r>
      <w:r w:rsidRPr="00670834">
        <w:rPr>
          <w:rStyle w:val="FootnoteReference"/>
          <w:rFonts w:ascii="Times New Roman" w:hAnsi="Times New Roman" w:cs="Times New Roman"/>
        </w:rPr>
        <w:footnoteReference w:id="19"/>
      </w:r>
      <w:r w:rsidRPr="00670834">
        <w:rPr>
          <w:rFonts w:ascii="Times New Roman" w:hAnsi="Times New Roman" w:cs="Times New Roman"/>
        </w:rPr>
        <w:t xml:space="preserve"> </w:t>
      </w:r>
      <w:r w:rsidR="00D62B76" w:rsidRPr="00670834">
        <w:rPr>
          <w:rFonts w:ascii="Times New Roman" w:hAnsi="Times New Roman" w:cs="Times New Roman"/>
        </w:rPr>
        <w:t xml:space="preserve">Due to large amount of liabilities, decrease in net profit and </w:t>
      </w:r>
      <w:r w:rsidRPr="00670834">
        <w:rPr>
          <w:rFonts w:ascii="Times New Roman" w:hAnsi="Times New Roman" w:cs="Times New Roman"/>
        </w:rPr>
        <w:t xml:space="preserve">demanding development programs. However, Noble maintained a BBB rating on S&amp;P’s rating. This is because </w:t>
      </w:r>
      <w:r w:rsidRPr="00670834">
        <w:rPr>
          <w:rFonts w:ascii="Times New Roman" w:hAnsi="Times New Roman" w:cs="Times New Roman" w:hint="eastAsia"/>
          <w:lang w:eastAsia="zh-CN"/>
        </w:rPr>
        <w:t>Noble</w:t>
      </w:r>
      <w:r w:rsidR="00D62B76" w:rsidRPr="00670834">
        <w:rPr>
          <w:rFonts w:ascii="Times New Roman" w:hAnsi="Times New Roman" w:cs="Times New Roman"/>
          <w:lang w:eastAsia="zh-CN"/>
        </w:rPr>
        <w:t>’s</w:t>
      </w:r>
      <w:r w:rsidRPr="00670834">
        <w:rPr>
          <w:rFonts w:ascii="Times New Roman" w:hAnsi="Times New Roman" w:cs="Times New Roman" w:hint="eastAsia"/>
          <w:lang w:eastAsia="zh-CN"/>
        </w:rPr>
        <w:t xml:space="preserve"> </w:t>
      </w:r>
      <w:r w:rsidRPr="00670834">
        <w:rPr>
          <w:rFonts w:ascii="Times New Roman" w:hAnsi="Times New Roman" w:cs="Times New Roman"/>
          <w:lang w:eastAsia="zh-CN"/>
        </w:rPr>
        <w:t>management</w:t>
      </w:r>
      <w:r w:rsidRPr="00670834">
        <w:rPr>
          <w:rFonts w:ascii="Times New Roman" w:hAnsi="Times New Roman" w:cs="Times New Roman" w:hint="eastAsia"/>
          <w:lang w:eastAsia="zh-CN"/>
        </w:rPr>
        <w:t xml:space="preserve"> teams are also actively finding solutions to increase company reserves</w:t>
      </w:r>
      <w:r w:rsidR="00D62B76" w:rsidRPr="00670834">
        <w:rPr>
          <w:rFonts w:ascii="Times New Roman" w:hAnsi="Times New Roman" w:cs="Times New Roman"/>
          <w:lang w:eastAsia="zh-CN"/>
        </w:rPr>
        <w:t xml:space="preserve"> and its </w:t>
      </w:r>
      <w:r w:rsidR="00D62B76" w:rsidRPr="00670834">
        <w:rPr>
          <w:rFonts w:ascii="Times New Roman" w:hAnsi="Times New Roman" w:cs="Times New Roman"/>
        </w:rPr>
        <w:t>technology advance</w:t>
      </w:r>
      <w:r w:rsidRPr="00670834">
        <w:rPr>
          <w:rFonts w:ascii="Times New Roman" w:hAnsi="Times New Roman" w:cs="Times New Roman" w:hint="eastAsia"/>
          <w:lang w:eastAsia="zh-CN"/>
        </w:rPr>
        <w:t xml:space="preserve">. In addition, the developing programs </w:t>
      </w:r>
      <w:r w:rsidRPr="00670834">
        <w:rPr>
          <w:rFonts w:ascii="Times New Roman" w:hAnsi="Times New Roman" w:cs="Times New Roman"/>
          <w:lang w:eastAsia="zh-CN"/>
        </w:rPr>
        <w:t>have</w:t>
      </w:r>
      <w:r w:rsidRPr="00670834">
        <w:rPr>
          <w:rFonts w:ascii="Times New Roman" w:hAnsi="Times New Roman" w:cs="Times New Roman" w:hint="eastAsia"/>
          <w:lang w:eastAsia="zh-CN"/>
        </w:rPr>
        <w:t xml:space="preserve"> important findings in Mediterranean and the deepwater Gulf of Mexico. These finding may boost the revenue of the company. These are all good signs for investors. </w:t>
      </w:r>
    </w:p>
    <w:p w14:paraId="00E93BA6" w14:textId="77777777" w:rsidR="001E5E2C" w:rsidRPr="00670834" w:rsidRDefault="001E5E2C" w:rsidP="001E5E2C">
      <w:pPr>
        <w:spacing w:line="480" w:lineRule="auto"/>
        <w:rPr>
          <w:rFonts w:ascii="Times New Roman" w:hAnsi="Times New Roman" w:cs="Times New Roman"/>
          <w:b/>
        </w:rPr>
      </w:pPr>
      <w:r w:rsidRPr="00670834">
        <w:rPr>
          <w:rFonts w:ascii="Times New Roman" w:hAnsi="Times New Roman" w:cs="Times New Roman"/>
          <w:b/>
        </w:rPr>
        <w:t>Yields and Duration</w:t>
      </w:r>
    </w:p>
    <w:p w14:paraId="0EA1EDCE" w14:textId="01B7E7F3" w:rsidR="001E5E2C" w:rsidRPr="00670834" w:rsidRDefault="001E5E2C" w:rsidP="00670834">
      <w:pPr>
        <w:spacing w:line="480" w:lineRule="auto"/>
        <w:ind w:firstLineChars="200" w:firstLine="480"/>
        <w:rPr>
          <w:rFonts w:ascii="Times New Roman" w:hAnsi="Times New Roman" w:cs="Times New Roman"/>
        </w:rPr>
      </w:pPr>
      <w:r w:rsidRPr="00670834">
        <w:rPr>
          <w:rFonts w:ascii="Times New Roman" w:hAnsi="Times New Roman" w:cs="Times New Roman"/>
        </w:rPr>
        <w:t>The different yields are important factors when considering whether to purchase a bond or not. First, the nominal yield or coupon rate represents a characteristic of the bond and</w:t>
      </w:r>
      <w:r w:rsidRPr="00670834">
        <w:rPr>
          <w:rFonts w:ascii="Times New Roman" w:hAnsi="Times New Roman" w:cs="Times New Roman" w:hint="eastAsia"/>
          <w:lang w:eastAsia="zh-CN"/>
        </w:rPr>
        <w:t xml:space="preserve"> </w:t>
      </w:r>
      <w:r w:rsidRPr="00670834">
        <w:rPr>
          <w:rFonts w:ascii="Times New Roman" w:hAnsi="Times New Roman" w:cs="Times New Roman"/>
          <w:lang w:eastAsia="zh-CN"/>
        </w:rPr>
        <w:t>is listed as a constant</w:t>
      </w:r>
      <w:r w:rsidRPr="00670834">
        <w:rPr>
          <w:rFonts w:ascii="Times New Roman" w:hAnsi="Times New Roman" w:cs="Times New Roman"/>
        </w:rPr>
        <w:t xml:space="preserve">. For our corporate bond issued by Noble Energy Inc. the </w:t>
      </w:r>
      <w:r w:rsidRPr="00670834">
        <w:rPr>
          <w:rFonts w:ascii="Times New Roman" w:hAnsi="Times New Roman" w:cs="Times New Roman" w:hint="eastAsia"/>
          <w:lang w:eastAsia="zh-CN"/>
        </w:rPr>
        <w:t>5.875</w:t>
      </w:r>
      <w:r w:rsidRPr="00670834">
        <w:rPr>
          <w:rFonts w:ascii="Times New Roman" w:hAnsi="Times New Roman" w:cs="Times New Roman"/>
        </w:rPr>
        <w:t xml:space="preserve">% nominal yield stands for the percentage of the face value that will be paid out to the investor annually. </w:t>
      </w:r>
      <w:r w:rsidR="00F13940">
        <w:rPr>
          <w:rFonts w:ascii="Times New Roman" w:hAnsi="Times New Roman" w:cs="Times New Roman"/>
        </w:rPr>
        <w:t>For a $10,000 face value bond, company has to pay $293.75 semi-annually</w:t>
      </w:r>
      <w:r w:rsidRPr="00670834">
        <w:rPr>
          <w:rFonts w:ascii="Times New Roman" w:hAnsi="Times New Roman" w:cs="Times New Roman"/>
        </w:rPr>
        <w:t>.</w:t>
      </w:r>
    </w:p>
    <w:p w14:paraId="752CA88A" w14:textId="3194E801" w:rsidR="001E5E2C" w:rsidRPr="00670834" w:rsidRDefault="001E5E2C" w:rsidP="00670834">
      <w:pPr>
        <w:spacing w:line="480" w:lineRule="auto"/>
        <w:ind w:firstLineChars="200" w:firstLine="480"/>
        <w:rPr>
          <w:rFonts w:ascii="Times New Roman" w:hAnsi="Times New Roman" w:cs="Times New Roman"/>
        </w:rPr>
      </w:pPr>
      <w:r w:rsidRPr="00670834">
        <w:rPr>
          <w:rFonts w:ascii="Times New Roman" w:hAnsi="Times New Roman" w:cs="Times New Roman"/>
        </w:rPr>
        <w:lastRenderedPageBreak/>
        <w:t xml:space="preserve">The </w:t>
      </w:r>
      <w:r w:rsidR="00493E71">
        <w:rPr>
          <w:rFonts w:ascii="Times New Roman" w:hAnsi="Times New Roman" w:cs="Times New Roman"/>
        </w:rPr>
        <w:t>second</w:t>
      </w:r>
      <w:r w:rsidRPr="00670834">
        <w:rPr>
          <w:rFonts w:ascii="Times New Roman" w:hAnsi="Times New Roman" w:cs="Times New Roman"/>
        </w:rPr>
        <w:t xml:space="preserve"> one is the current yield.  The current yield is </w:t>
      </w:r>
      <w:r w:rsidR="00493E71">
        <w:rPr>
          <w:rFonts w:ascii="Times New Roman" w:hAnsi="Times New Roman" w:cs="Times New Roman"/>
        </w:rPr>
        <w:t xml:space="preserve">pretty </w:t>
      </w:r>
      <w:r w:rsidRPr="00670834">
        <w:rPr>
          <w:rFonts w:ascii="Times New Roman" w:hAnsi="Times New Roman" w:cs="Times New Roman"/>
        </w:rPr>
        <w:t xml:space="preserve">similar to the nominal yield, but it gives a better idea about how much the bond is currently yielding. It is calculated by </w:t>
      </w:r>
      <w:r w:rsidR="00493E71">
        <w:rPr>
          <w:rFonts w:ascii="Times New Roman" w:hAnsi="Times New Roman" w:cs="Times New Roman"/>
        </w:rPr>
        <w:t>dividing</w:t>
      </w:r>
      <w:r w:rsidRPr="00670834">
        <w:rPr>
          <w:rFonts w:ascii="Times New Roman" w:hAnsi="Times New Roman" w:cs="Times New Roman"/>
        </w:rPr>
        <w:t xml:space="preserve"> the nominal yield, 5.875% </w:t>
      </w:r>
      <w:r w:rsidR="00493E71">
        <w:rPr>
          <w:rFonts w:ascii="Times New Roman" w:hAnsi="Times New Roman" w:cs="Times New Roman"/>
        </w:rPr>
        <w:t xml:space="preserve">by </w:t>
      </w:r>
      <w:r w:rsidRPr="00670834">
        <w:rPr>
          <w:rFonts w:ascii="Times New Roman" w:hAnsi="Times New Roman" w:cs="Times New Roman"/>
        </w:rPr>
        <w:t>current trading price 106.46%. This gives us a current yield o</w:t>
      </w:r>
      <w:r w:rsidR="00493E71">
        <w:rPr>
          <w:rFonts w:ascii="Times New Roman" w:hAnsi="Times New Roman" w:cs="Times New Roman"/>
        </w:rPr>
        <w:t>f 5.519%. The current yield is smaller</w:t>
      </w:r>
      <w:r w:rsidRPr="00670834">
        <w:rPr>
          <w:rFonts w:ascii="Times New Roman" w:hAnsi="Times New Roman" w:cs="Times New Roman"/>
        </w:rPr>
        <w:t xml:space="preserve"> than the nominal yield because the bond is trading at a premium. </w:t>
      </w:r>
    </w:p>
    <w:p w14:paraId="4D4A9E05" w14:textId="390C11D3" w:rsidR="001E5E2C" w:rsidRPr="00670834" w:rsidRDefault="001E5E2C" w:rsidP="00670834">
      <w:pPr>
        <w:spacing w:line="480" w:lineRule="auto"/>
        <w:ind w:firstLineChars="200" w:firstLine="480"/>
        <w:rPr>
          <w:rFonts w:ascii="Times New Roman" w:hAnsi="Times New Roman" w:cs="Times New Roman"/>
          <w:strike/>
        </w:rPr>
      </w:pPr>
      <w:r w:rsidRPr="00670834">
        <w:rPr>
          <w:rFonts w:ascii="Times New Roman" w:hAnsi="Times New Roman" w:cs="Times New Roman"/>
        </w:rPr>
        <w:t xml:space="preserve">Thirdly, the yield to maturity, or YTM, considers the time value of money.  The yield to maturity is the internal rate of return earned by the investor </w:t>
      </w:r>
      <w:r w:rsidR="00493E71">
        <w:rPr>
          <w:rFonts w:ascii="Times New Roman" w:hAnsi="Times New Roman" w:cs="Times New Roman"/>
        </w:rPr>
        <w:t xml:space="preserve">so </w:t>
      </w:r>
      <w:r w:rsidRPr="00670834">
        <w:rPr>
          <w:rFonts w:ascii="Times New Roman" w:hAnsi="Times New Roman" w:cs="Times New Roman"/>
        </w:rPr>
        <w:t xml:space="preserve">the investor </w:t>
      </w:r>
      <w:r w:rsidR="00493E71">
        <w:rPr>
          <w:rFonts w:ascii="Times New Roman" w:hAnsi="Times New Roman" w:cs="Times New Roman"/>
        </w:rPr>
        <w:t xml:space="preserve">is able to know the </w:t>
      </w:r>
      <w:r w:rsidRPr="00670834">
        <w:rPr>
          <w:rFonts w:ascii="Times New Roman" w:hAnsi="Times New Roman" w:cs="Times New Roman"/>
        </w:rPr>
        <w:t>return</w:t>
      </w:r>
      <w:r w:rsidR="00493E71">
        <w:rPr>
          <w:rFonts w:ascii="Times New Roman" w:hAnsi="Times New Roman" w:cs="Times New Roman"/>
        </w:rPr>
        <w:t xml:space="preserve"> they can generate</w:t>
      </w:r>
      <w:r w:rsidRPr="00670834">
        <w:rPr>
          <w:rFonts w:ascii="Times New Roman" w:hAnsi="Times New Roman" w:cs="Times New Roman"/>
        </w:rPr>
        <w:t xml:space="preserve"> if the bond is held until maturity and</w:t>
      </w:r>
      <w:r w:rsidRPr="00670834">
        <w:rPr>
          <w:rFonts w:ascii="Times New Roman" w:hAnsi="Times New Roman" w:cs="Times New Roman"/>
          <w:color w:val="000000" w:themeColor="text1"/>
        </w:rPr>
        <w:t xml:space="preserve"> all </w:t>
      </w:r>
      <w:r w:rsidR="00493E71">
        <w:rPr>
          <w:rFonts w:ascii="Times New Roman" w:hAnsi="Times New Roman" w:cs="Times New Roman"/>
          <w:color w:val="000000" w:themeColor="text1"/>
        </w:rPr>
        <w:t>payments</w:t>
      </w:r>
      <w:r w:rsidRPr="00670834">
        <w:rPr>
          <w:rFonts w:ascii="Times New Roman" w:hAnsi="Times New Roman" w:cs="Times New Roman"/>
          <w:color w:val="000000" w:themeColor="text1"/>
        </w:rPr>
        <w:t xml:space="preserve"> </w:t>
      </w:r>
      <w:r w:rsidR="00493E71">
        <w:rPr>
          <w:rFonts w:ascii="Times New Roman" w:hAnsi="Times New Roman" w:cs="Times New Roman"/>
          <w:color w:val="000000" w:themeColor="text1"/>
        </w:rPr>
        <w:t>are</w:t>
      </w:r>
      <w:r w:rsidRPr="00670834">
        <w:rPr>
          <w:rFonts w:ascii="Times New Roman" w:hAnsi="Times New Roman" w:cs="Times New Roman"/>
          <w:color w:val="000000" w:themeColor="text1"/>
        </w:rPr>
        <w:t xml:space="preserve"> reinvested at the same yield </w:t>
      </w:r>
      <w:r w:rsidR="00493E71">
        <w:rPr>
          <w:rFonts w:ascii="Times New Roman" w:hAnsi="Times New Roman" w:cs="Times New Roman"/>
          <w:color w:val="000000" w:themeColor="text1"/>
        </w:rPr>
        <w:t>until</w:t>
      </w:r>
      <w:r w:rsidRPr="00670834">
        <w:rPr>
          <w:rFonts w:ascii="Times New Roman" w:hAnsi="Times New Roman" w:cs="Times New Roman"/>
          <w:color w:val="000000" w:themeColor="text1"/>
        </w:rPr>
        <w:t xml:space="preserve"> maturity.</w:t>
      </w:r>
      <w:r w:rsidRPr="00670834">
        <w:rPr>
          <w:rFonts w:ascii="Times New Roman" w:hAnsi="Times New Roman" w:cs="Times New Roman"/>
        </w:rPr>
        <w:t xml:space="preserve"> </w:t>
      </w:r>
      <w:r w:rsidR="00493E71">
        <w:rPr>
          <w:rFonts w:ascii="Times New Roman" w:hAnsi="Times New Roman" w:cs="Times New Roman"/>
        </w:rPr>
        <w:t>This enables</w:t>
      </w:r>
      <w:r w:rsidRPr="00670834">
        <w:rPr>
          <w:rFonts w:ascii="Times New Roman" w:hAnsi="Times New Roman" w:cs="Times New Roman"/>
        </w:rPr>
        <w:t xml:space="preserve"> investors to easily </w:t>
      </w:r>
      <w:r w:rsidR="00493E71">
        <w:rPr>
          <w:rFonts w:ascii="Times New Roman" w:hAnsi="Times New Roman" w:cs="Times New Roman"/>
        </w:rPr>
        <w:t>pick among</w:t>
      </w:r>
      <w:r w:rsidRPr="00670834">
        <w:rPr>
          <w:rFonts w:ascii="Times New Roman" w:hAnsi="Times New Roman" w:cs="Times New Roman"/>
        </w:rPr>
        <w:t xml:space="preserve"> bonds </w:t>
      </w:r>
      <w:r w:rsidR="00493E71">
        <w:rPr>
          <w:rFonts w:ascii="Times New Roman" w:hAnsi="Times New Roman" w:cs="Times New Roman"/>
        </w:rPr>
        <w:t>with</w:t>
      </w:r>
      <w:r w:rsidRPr="00670834">
        <w:rPr>
          <w:rFonts w:ascii="Times New Roman" w:hAnsi="Times New Roman" w:cs="Times New Roman"/>
        </w:rPr>
        <w:t xml:space="preserve"> similar characteristics. Normally, the higher the YTM, the more risky and expensive the bound is. On Noble Energy Inc. the YTM is 4.849%. This was calculated by </w:t>
      </w:r>
      <w:r w:rsidR="00493E71">
        <w:rPr>
          <w:rFonts w:ascii="Times New Roman" w:hAnsi="Times New Roman" w:cs="Times New Roman"/>
        </w:rPr>
        <w:t>summing discounted f</w:t>
      </w:r>
      <w:r w:rsidRPr="00670834">
        <w:rPr>
          <w:rFonts w:ascii="Times New Roman" w:hAnsi="Times New Roman" w:cs="Times New Roman"/>
        </w:rPr>
        <w:t xml:space="preserve">uture cash flow at a rate to equal to the invoice price of the bond. </w:t>
      </w:r>
    </w:p>
    <w:p w14:paraId="429D0CFE" w14:textId="1B186FFC" w:rsidR="001E5E2C" w:rsidRPr="00670834" w:rsidRDefault="001E5E2C" w:rsidP="00670834">
      <w:pPr>
        <w:spacing w:line="480" w:lineRule="auto"/>
        <w:ind w:firstLineChars="200" w:firstLine="480"/>
        <w:rPr>
          <w:rFonts w:ascii="Times New Roman" w:hAnsi="Times New Roman" w:cs="Times New Roman"/>
        </w:rPr>
      </w:pPr>
      <w:r w:rsidRPr="00670834">
        <w:rPr>
          <w:rFonts w:ascii="Times New Roman" w:hAnsi="Times New Roman" w:cs="Times New Roman"/>
        </w:rPr>
        <w:t xml:space="preserve">Though YTM is significant when evaluating a bond, some bonds have call provisions that allow the issuer to pay off its debt </w:t>
      </w:r>
      <w:r w:rsidR="00493E71">
        <w:rPr>
          <w:rFonts w:ascii="Times New Roman" w:hAnsi="Times New Roman" w:cs="Times New Roman"/>
        </w:rPr>
        <w:t>before</w:t>
      </w:r>
      <w:r w:rsidRPr="00670834">
        <w:rPr>
          <w:rFonts w:ascii="Times New Roman" w:hAnsi="Times New Roman" w:cs="Times New Roman"/>
        </w:rPr>
        <w:t xml:space="preserve"> maturity at a specified price. The bond we </w:t>
      </w:r>
      <w:r w:rsidR="00493E71">
        <w:rPr>
          <w:rFonts w:ascii="Times New Roman" w:hAnsi="Times New Roman" w:cs="Times New Roman"/>
        </w:rPr>
        <w:t>analyzed</w:t>
      </w:r>
      <w:r w:rsidRPr="00670834">
        <w:rPr>
          <w:rFonts w:ascii="Times New Roman" w:hAnsi="Times New Roman" w:cs="Times New Roman"/>
        </w:rPr>
        <w:t xml:space="preserve"> is callable starting in June</w:t>
      </w:r>
      <w:r w:rsidR="00D62B76" w:rsidRPr="00670834">
        <w:rPr>
          <w:rFonts w:ascii="Times New Roman" w:hAnsi="Times New Roman" w:cs="Times New Roman"/>
        </w:rPr>
        <w:t xml:space="preserve"> 1</w:t>
      </w:r>
      <w:r w:rsidR="00D62B76" w:rsidRPr="00670834">
        <w:rPr>
          <w:rFonts w:ascii="Times New Roman" w:hAnsi="Times New Roman" w:cs="Times New Roman"/>
          <w:vertAlign w:val="superscript"/>
        </w:rPr>
        <w:t>st</w:t>
      </w:r>
      <w:r w:rsidR="00D62B76" w:rsidRPr="00670834">
        <w:rPr>
          <w:rFonts w:ascii="Times New Roman" w:hAnsi="Times New Roman" w:cs="Times New Roman"/>
        </w:rPr>
        <w:t>,</w:t>
      </w:r>
      <w:r w:rsidRPr="00670834">
        <w:rPr>
          <w:rFonts w:ascii="Times New Roman" w:hAnsi="Times New Roman" w:cs="Times New Roman"/>
        </w:rPr>
        <w:t xml:space="preserve"> 2019. It is </w:t>
      </w:r>
      <w:r w:rsidR="00493E71">
        <w:rPr>
          <w:rFonts w:ascii="Times New Roman" w:hAnsi="Times New Roman" w:cs="Times New Roman"/>
        </w:rPr>
        <w:t>critical</w:t>
      </w:r>
      <w:r w:rsidRPr="00670834">
        <w:rPr>
          <w:rFonts w:ascii="Times New Roman" w:hAnsi="Times New Roman" w:cs="Times New Roman"/>
        </w:rPr>
        <w:t xml:space="preserve"> to inspect the bond’s yields to call since they might be the real rate of return. The picture below shows </w:t>
      </w:r>
      <w:r w:rsidRPr="00670834">
        <w:rPr>
          <w:rFonts w:ascii="Times New Roman" w:hAnsi="Times New Roman" w:cs="Times New Roman"/>
        </w:rPr>
        <w:lastRenderedPageBreak/>
        <w:t>details about different calls.</w:t>
      </w:r>
      <w:r w:rsidRPr="00670834">
        <w:rPr>
          <w:rFonts w:ascii="Times New Roman" w:hAnsi="Times New Roman" w:cs="Times New Roman"/>
          <w:noProof/>
        </w:rPr>
        <w:drawing>
          <wp:inline distT="0" distB="0" distL="0" distR="0" wp14:anchorId="5E77CCC4" wp14:editId="34F759FD">
            <wp:extent cx="4864708" cy="1932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47" cy="1933222"/>
                    </a:xfrm>
                    <a:prstGeom prst="rect">
                      <a:avLst/>
                    </a:prstGeom>
                    <a:noFill/>
                    <a:ln>
                      <a:noFill/>
                    </a:ln>
                  </pic:spPr>
                </pic:pic>
              </a:graphicData>
            </a:graphic>
          </wp:inline>
        </w:drawing>
      </w:r>
      <w:r w:rsidRPr="00670834">
        <w:rPr>
          <w:rFonts w:ascii="Times New Roman" w:hAnsi="Times New Roman" w:cs="Times New Roman"/>
        </w:rPr>
        <w:t xml:space="preserve"> </w:t>
      </w:r>
    </w:p>
    <w:p w14:paraId="1E084AAF" w14:textId="09BF8949" w:rsidR="001E5E2C" w:rsidRPr="00670834" w:rsidRDefault="001E5E2C" w:rsidP="00670834">
      <w:pPr>
        <w:spacing w:line="480" w:lineRule="auto"/>
        <w:ind w:firstLineChars="200" w:firstLine="480"/>
        <w:rPr>
          <w:rFonts w:ascii="Times New Roman" w:hAnsi="Times New Roman" w:cs="Times New Roman"/>
        </w:rPr>
      </w:pPr>
      <w:r w:rsidRPr="00670834">
        <w:rPr>
          <w:rFonts w:ascii="Times New Roman" w:hAnsi="Times New Roman" w:cs="Times New Roman"/>
        </w:rPr>
        <w:t>According to the table, when the call date gets earlier the yield decreases due to the loss of co</w:t>
      </w:r>
      <w:r w:rsidR="00493E71">
        <w:rPr>
          <w:rFonts w:ascii="Times New Roman" w:hAnsi="Times New Roman" w:cs="Times New Roman"/>
        </w:rPr>
        <w:t xml:space="preserve">upon payment. To compensate </w:t>
      </w:r>
      <w:r w:rsidRPr="00670834">
        <w:rPr>
          <w:rFonts w:ascii="Times New Roman" w:hAnsi="Times New Roman" w:cs="Times New Roman"/>
        </w:rPr>
        <w:t xml:space="preserve">this loss, the issuer </w:t>
      </w:r>
      <w:r w:rsidR="00493E71">
        <w:rPr>
          <w:rFonts w:ascii="Times New Roman" w:hAnsi="Times New Roman" w:cs="Times New Roman"/>
        </w:rPr>
        <w:t>has to pay</w:t>
      </w:r>
      <w:r w:rsidRPr="00670834">
        <w:rPr>
          <w:rFonts w:ascii="Times New Roman" w:hAnsi="Times New Roman" w:cs="Times New Roman"/>
        </w:rPr>
        <w:t xml:space="preserve"> a</w:t>
      </w:r>
      <w:r w:rsidR="00493E71">
        <w:rPr>
          <w:rFonts w:ascii="Times New Roman" w:hAnsi="Times New Roman" w:cs="Times New Roman"/>
        </w:rPr>
        <w:t>dditional</w:t>
      </w:r>
      <w:r w:rsidRPr="00670834">
        <w:rPr>
          <w:rFonts w:ascii="Times New Roman" w:hAnsi="Times New Roman" w:cs="Times New Roman"/>
        </w:rPr>
        <w:t xml:space="preserve"> premium </w:t>
      </w:r>
      <w:r w:rsidR="00493E71">
        <w:rPr>
          <w:rFonts w:ascii="Times New Roman" w:hAnsi="Times New Roman" w:cs="Times New Roman"/>
        </w:rPr>
        <w:t>and</w:t>
      </w:r>
      <w:r w:rsidRPr="00670834">
        <w:rPr>
          <w:rFonts w:ascii="Times New Roman" w:hAnsi="Times New Roman" w:cs="Times New Roman"/>
        </w:rPr>
        <w:t xml:space="preserve"> accrued interest to the redemption date. The yield to call in 2019 of 4.308% is the worst outcome for the investor. If the yield to call is lower than the yield to maturity, and the interest rate is low, company would be likely to call the bond and replace it with lower coupon rate bond. </w:t>
      </w:r>
    </w:p>
    <w:p w14:paraId="3F25F052" w14:textId="77777777" w:rsidR="001E5E2C" w:rsidRPr="00670834" w:rsidRDefault="001E5E2C" w:rsidP="00670834">
      <w:pPr>
        <w:spacing w:line="480" w:lineRule="auto"/>
        <w:ind w:firstLineChars="200" w:firstLine="480"/>
        <w:rPr>
          <w:rFonts w:ascii="Times New Roman" w:hAnsi="Times New Roman" w:cs="Times New Roman"/>
        </w:rPr>
      </w:pPr>
      <w:r w:rsidRPr="00670834">
        <w:rPr>
          <w:rFonts w:ascii="Times New Roman" w:hAnsi="Times New Roman" w:cs="Times New Roman"/>
        </w:rPr>
        <w:t>Last but not least, the bond’s duration. Duration is the weighted average the times until the maturity of the cash flows. It measures the bond’s price sensitivity to yield. A higher duration indicates that the bond is more sensitive to interest rate changes, and thus more risky. As shown in the Appendix, we ca</w:t>
      </w:r>
      <w:r w:rsidR="00D62B76" w:rsidRPr="00670834">
        <w:rPr>
          <w:rFonts w:ascii="Times New Roman" w:hAnsi="Times New Roman" w:cs="Times New Roman"/>
        </w:rPr>
        <w:t>lculated the duration to be 6.1668</w:t>
      </w:r>
      <w:r w:rsidRPr="00670834">
        <w:rPr>
          <w:rFonts w:ascii="Times New Roman" w:hAnsi="Times New Roman" w:cs="Times New Roman"/>
        </w:rPr>
        <w:t xml:space="preserve"> years. The modified duration, which captures the relative sensitivity of a bond’s price to interest rate fluctuations, is 6.02</w:t>
      </w:r>
      <w:r w:rsidR="00D62B76" w:rsidRPr="00670834">
        <w:rPr>
          <w:rFonts w:ascii="Times New Roman" w:hAnsi="Times New Roman" w:cs="Times New Roman"/>
        </w:rPr>
        <w:t>09</w:t>
      </w:r>
      <w:r w:rsidRPr="00670834">
        <w:rPr>
          <w:rFonts w:ascii="Times New Roman" w:hAnsi="Times New Roman" w:cs="Times New Roman"/>
        </w:rPr>
        <w:t xml:space="preserve"> years. We will further discuss about the duration in the Sensitivity Analysis. </w:t>
      </w:r>
    </w:p>
    <w:p w14:paraId="2D813DFA" w14:textId="77777777" w:rsidR="001E5E2C" w:rsidRPr="00670834" w:rsidRDefault="001E5E2C" w:rsidP="001E5E2C">
      <w:pPr>
        <w:spacing w:line="480" w:lineRule="auto"/>
        <w:rPr>
          <w:rFonts w:ascii="Times New Roman" w:hAnsi="Times New Roman"/>
          <w:b/>
        </w:rPr>
      </w:pPr>
      <w:r w:rsidRPr="00670834">
        <w:rPr>
          <w:rFonts w:ascii="Times New Roman" w:hAnsi="Times New Roman"/>
          <w:b/>
        </w:rPr>
        <w:t>Sensitivity Analysis</w:t>
      </w:r>
    </w:p>
    <w:p w14:paraId="52335E89" w14:textId="77777777" w:rsidR="001E5E2C" w:rsidRPr="00670834" w:rsidRDefault="001E5E2C" w:rsidP="00670834">
      <w:pPr>
        <w:spacing w:line="480" w:lineRule="auto"/>
        <w:ind w:firstLineChars="200" w:firstLine="480"/>
        <w:rPr>
          <w:rFonts w:ascii="Times New Roman" w:hAnsi="Times New Roman"/>
        </w:rPr>
      </w:pPr>
      <w:r w:rsidRPr="00670834">
        <w:rPr>
          <w:rFonts w:ascii="Times New Roman" w:hAnsi="Times New Roman"/>
        </w:rPr>
        <w:t xml:space="preserve">Understanding how the bond price move with the interest rate environment helps one to study the potential risks as well as predict future bond price movements. </w:t>
      </w:r>
      <w:r w:rsidRPr="00670834">
        <w:rPr>
          <w:rFonts w:ascii="Times New Roman" w:hAnsi="Times New Roman"/>
        </w:rPr>
        <w:lastRenderedPageBreak/>
        <w:t xml:space="preserve">Generally, the bond price has an inverse relationship with the interest rate. However, their degree of negative correlation varies from bond to bond, thus leading to different risks. Modified Duration helps to determine the correlation between prices and yield, as it measures </w:t>
      </w:r>
      <w:r w:rsidR="00D62B76" w:rsidRPr="00670834">
        <w:rPr>
          <w:rFonts w:ascii="Times New Roman" w:hAnsi="Times New Roman" w:cs="Times New Roman"/>
        </w:rPr>
        <w:t>the relative sensitivity of a bond’s price to interest rate fluctuations</w:t>
      </w:r>
      <w:r w:rsidRPr="00670834">
        <w:rPr>
          <w:rFonts w:ascii="Times New Roman" w:hAnsi="Times New Roman"/>
        </w:rPr>
        <w:t>. Modified Duration is also the slope of the price yield curve present below.</w:t>
      </w:r>
    </w:p>
    <w:p w14:paraId="17BE88E3" w14:textId="77777777" w:rsidR="001E5E2C" w:rsidRPr="00670834" w:rsidRDefault="001E5E2C" w:rsidP="00670834">
      <w:pPr>
        <w:spacing w:line="480" w:lineRule="auto"/>
        <w:ind w:firstLineChars="200" w:firstLine="480"/>
        <w:rPr>
          <w:rFonts w:ascii="Times New Roman" w:hAnsi="Times New Roman"/>
        </w:rPr>
      </w:pPr>
      <w:r w:rsidRPr="00670834">
        <w:rPr>
          <w:rFonts w:ascii="Times New Roman" w:hAnsi="Times New Roman"/>
          <w:noProof/>
        </w:rPr>
        <w:drawing>
          <wp:anchor distT="0" distB="0" distL="114300" distR="114300" simplePos="0" relativeHeight="251659264" behindDoc="0" locked="0" layoutInCell="1" allowOverlap="1" wp14:anchorId="10441023" wp14:editId="1E2BBE4C">
            <wp:simplePos x="0" y="0"/>
            <wp:positionH relativeFrom="column">
              <wp:posOffset>3175</wp:posOffset>
            </wp:positionH>
            <wp:positionV relativeFrom="paragraph">
              <wp:posOffset>2540</wp:posOffset>
            </wp:positionV>
            <wp:extent cx="3257550" cy="21609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9.03.16 PM.png"/>
                    <pic:cNvPicPr/>
                  </pic:nvPicPr>
                  <pic:blipFill>
                    <a:blip r:embed="rId8">
                      <a:extLst>
                        <a:ext uri="{28A0092B-C50C-407E-A947-70E740481C1C}">
                          <a14:useLocalDpi xmlns:a14="http://schemas.microsoft.com/office/drawing/2010/main" val="0"/>
                        </a:ext>
                      </a:extLst>
                    </a:blip>
                    <a:stretch>
                      <a:fillRect/>
                    </a:stretch>
                  </pic:blipFill>
                  <pic:spPr>
                    <a:xfrm>
                      <a:off x="0" y="0"/>
                      <a:ext cx="3257550" cy="2160905"/>
                    </a:xfrm>
                    <a:prstGeom prst="rect">
                      <a:avLst/>
                    </a:prstGeom>
                  </pic:spPr>
                </pic:pic>
              </a:graphicData>
            </a:graphic>
            <wp14:sizeRelH relativeFrom="page">
              <wp14:pctWidth>0</wp14:pctWidth>
            </wp14:sizeRelH>
            <wp14:sizeRelV relativeFrom="page">
              <wp14:pctHeight>0</wp14:pctHeight>
            </wp14:sizeRelV>
          </wp:anchor>
        </w:drawing>
      </w:r>
      <w:r w:rsidRPr="00670834">
        <w:rPr>
          <w:rFonts w:ascii="Times New Roman" w:hAnsi="Times New Roman"/>
        </w:rPr>
        <w:t>From the graph, we can see that when yield to maturity equals to 4.849%, the bond price is $106.46. The modified duration is 6.0209 years. This indicates that with 1% change in the interest rate, there is 6.0209% decrease in the price of the bond. This is relatively high as the bond matures in 8 years. Thus, this bond is considered sensitive to the change in the interest. Buying this bond, investors are subject to a high interest risk.</w:t>
      </w:r>
    </w:p>
    <w:p w14:paraId="03961B26" w14:textId="77777777" w:rsidR="00D62B76" w:rsidRPr="00670834" w:rsidRDefault="001E5E2C" w:rsidP="00670834">
      <w:pPr>
        <w:spacing w:line="480" w:lineRule="auto"/>
        <w:ind w:firstLineChars="200" w:firstLine="480"/>
        <w:rPr>
          <w:rFonts w:ascii="Times New Roman" w:hAnsi="Times New Roman"/>
          <w:lang w:eastAsia="zh-CN"/>
        </w:rPr>
      </w:pPr>
      <w:r w:rsidRPr="00670834">
        <w:rPr>
          <w:rFonts w:ascii="Times New Roman" w:hAnsi="Times New Roman" w:hint="eastAsia"/>
          <w:lang w:eastAsia="zh-CN"/>
        </w:rPr>
        <w:t>From the graph, we can see that the slope of graph is negative. This represents the negative correlation between price and yield. In addition, from the tangent modified duration line in the price yield curve, we can tell that the further away from the maturity date, the higher risk the investors are subject to due to the change in interest rate.</w:t>
      </w:r>
    </w:p>
    <w:p w14:paraId="6F3E5472" w14:textId="77777777" w:rsidR="00D06F6E" w:rsidRDefault="00D06F6E" w:rsidP="00D06F6E">
      <w:pPr>
        <w:spacing w:line="480" w:lineRule="auto"/>
        <w:rPr>
          <w:rFonts w:ascii="Times New Roman" w:hAnsi="Times New Roman" w:cs="Times New Roman"/>
          <w:b/>
        </w:rPr>
      </w:pPr>
      <w:r w:rsidRPr="00D81287">
        <w:rPr>
          <w:rFonts w:ascii="Times New Roman" w:hAnsi="Times New Roman" w:cs="Times New Roman"/>
          <w:b/>
        </w:rPr>
        <w:t>Conclusion</w:t>
      </w:r>
    </w:p>
    <w:p w14:paraId="453A9F16" w14:textId="66ABC481" w:rsidR="00D06F6E" w:rsidRDefault="00D06F6E" w:rsidP="00D06F6E">
      <w:pPr>
        <w:spacing w:line="480" w:lineRule="auto"/>
        <w:rPr>
          <w:rFonts w:ascii="Times New Roman" w:hAnsi="Times New Roman" w:cs="Times New Roman"/>
        </w:rPr>
      </w:pPr>
      <w:r>
        <w:rPr>
          <w:rFonts w:ascii="Times New Roman" w:hAnsi="Times New Roman" w:cs="Times New Roman"/>
          <w:b/>
        </w:rPr>
        <w:tab/>
      </w:r>
      <w:r w:rsidRPr="00DD5318">
        <w:rPr>
          <w:rFonts w:ascii="Times New Roman" w:hAnsi="Times New Roman" w:cs="Times New Roman"/>
        </w:rPr>
        <w:t xml:space="preserve">After </w:t>
      </w:r>
      <w:r>
        <w:rPr>
          <w:rFonts w:ascii="Times New Roman" w:hAnsi="Times New Roman" w:cs="Times New Roman"/>
        </w:rPr>
        <w:t xml:space="preserve">analyzing the Noble Energy Inc.’s corporate bond, we would not recommend this bond to a risk-averse investor. Noble Energy Inc. has a relatively low interest coverage ratio. It </w:t>
      </w:r>
      <w:r>
        <w:rPr>
          <w:rFonts w:ascii="Times New Roman" w:hAnsi="Times New Roman" w:cs="Times New Roman" w:hint="eastAsia"/>
        </w:rPr>
        <w:t xml:space="preserve">indicates a greater risk of default and it may have lesser amount </w:t>
      </w:r>
      <w:r>
        <w:rPr>
          <w:rFonts w:ascii="Times New Roman" w:hAnsi="Times New Roman" w:cs="Times New Roman" w:hint="eastAsia"/>
        </w:rPr>
        <w:lastRenderedPageBreak/>
        <w:t xml:space="preserve">of earning </w:t>
      </w:r>
      <w:r>
        <w:rPr>
          <w:rFonts w:ascii="Times New Roman" w:hAnsi="Times New Roman" w:cs="Times New Roman"/>
        </w:rPr>
        <w:t>available</w:t>
      </w:r>
      <w:r>
        <w:rPr>
          <w:rFonts w:ascii="Times New Roman" w:hAnsi="Times New Roman" w:cs="Times New Roman" w:hint="eastAsia"/>
        </w:rPr>
        <w:t xml:space="preserve"> to make payments. </w:t>
      </w:r>
      <w:r>
        <w:rPr>
          <w:rFonts w:ascii="Times New Roman" w:hAnsi="Times New Roman" w:cs="Times New Roman"/>
        </w:rPr>
        <w:t>I</w:t>
      </w:r>
      <w:r w:rsidRPr="00672FC7">
        <w:rPr>
          <w:rFonts w:ascii="Times New Roman" w:hAnsi="Times New Roman" w:cs="Times New Roman"/>
        </w:rPr>
        <w:t>t also means the company is less able to handle any increase in interest rates.</w:t>
      </w:r>
      <w:r>
        <w:rPr>
          <w:rFonts w:ascii="Times New Roman" w:hAnsi="Times New Roman" w:cs="Times New Roman"/>
        </w:rPr>
        <w:t xml:space="preserve"> Furthermore, the bond is unsecured, representing that the company is not backed by any</w:t>
      </w:r>
      <w:r w:rsidRPr="00D02C66">
        <w:rPr>
          <w:rFonts w:ascii="Times New Roman" w:hAnsi="Times New Roman" w:cs="Times New Roman"/>
        </w:rPr>
        <w:t xml:space="preserve"> type of collateral.</w:t>
      </w:r>
    </w:p>
    <w:p w14:paraId="74F5EAA0" w14:textId="22FEB835" w:rsidR="00D06F6E" w:rsidRDefault="00D06F6E" w:rsidP="00D06F6E">
      <w:pPr>
        <w:spacing w:line="480" w:lineRule="auto"/>
        <w:rPr>
          <w:rFonts w:ascii="Times New Roman" w:hAnsi="Times New Roman" w:cs="Times New Roman"/>
        </w:rPr>
      </w:pPr>
      <w:r>
        <w:rPr>
          <w:rFonts w:ascii="Times New Roman" w:hAnsi="Times New Roman" w:cs="Times New Roman"/>
        </w:rPr>
        <w:tab/>
        <w:t xml:space="preserve">Comparing this bond to </w:t>
      </w:r>
      <w:r w:rsidR="00493E71">
        <w:rPr>
          <w:rFonts w:ascii="Times New Roman" w:hAnsi="Times New Roman" w:cs="Times New Roman"/>
        </w:rPr>
        <w:t xml:space="preserve">other </w:t>
      </w:r>
      <w:r>
        <w:rPr>
          <w:rFonts w:ascii="Times New Roman" w:hAnsi="Times New Roman" w:cs="Times New Roman"/>
        </w:rPr>
        <w:t xml:space="preserve">bonds with similar characteristics, </w:t>
      </w:r>
      <w:r w:rsidR="00493E71">
        <w:rPr>
          <w:rFonts w:ascii="Times New Roman" w:hAnsi="Times New Roman" w:cs="Times New Roman"/>
        </w:rPr>
        <w:t>we can see</w:t>
      </w:r>
      <w:r>
        <w:rPr>
          <w:rFonts w:ascii="Times New Roman" w:hAnsi="Times New Roman" w:cs="Times New Roman"/>
        </w:rPr>
        <w:t xml:space="preserve"> that the price matched its yield. For</w:t>
      </w:r>
      <w:r>
        <w:rPr>
          <w:rFonts w:ascii="Times New Roman" w:hAnsi="Times New Roman" w:cs="Times New Roman"/>
          <w:bCs/>
        </w:rPr>
        <w:t xml:space="preserve"> </w:t>
      </w:r>
      <w:r w:rsidRPr="00847D1C">
        <w:rPr>
          <w:rFonts w:ascii="Times New Roman" w:hAnsi="Times New Roman" w:cs="Times New Roman"/>
          <w:bCs/>
        </w:rPr>
        <w:t>OMEGA HEALTHCARE INVS INC</w:t>
      </w:r>
      <w:r>
        <w:rPr>
          <w:rStyle w:val="FootnoteReference"/>
          <w:rFonts w:ascii="Times New Roman" w:hAnsi="Times New Roman" w:cs="Times New Roman"/>
          <w:bCs/>
        </w:rPr>
        <w:footnoteReference w:id="20"/>
      </w:r>
      <w:r>
        <w:rPr>
          <w:rFonts w:ascii="Times New Roman" w:hAnsi="Times New Roman" w:cs="Times New Roman"/>
        </w:rPr>
        <w:t>, its bonds with similar maturity date and ratings are trading at a price of 104.62% with a coupon rate of 5.785%. For the exact same coupon rate, it has slightly lower price than Noble Energy Inc. Under such circumstance, Noble Energy Inc. is not underpriced or overpriced.</w:t>
      </w:r>
    </w:p>
    <w:p w14:paraId="193701F3" w14:textId="60FE63BC" w:rsidR="00D06F6E" w:rsidRDefault="00D06F6E" w:rsidP="00D06F6E">
      <w:pPr>
        <w:spacing w:line="480" w:lineRule="auto"/>
        <w:ind w:firstLine="720"/>
        <w:rPr>
          <w:rFonts w:ascii="Times" w:hAnsi="Times" w:cs="Times New Roman"/>
          <w:lang w:eastAsia="zh-CN"/>
        </w:rPr>
      </w:pPr>
      <w:r>
        <w:rPr>
          <w:rFonts w:ascii="Times New Roman" w:eastAsia="MS Mincho" w:hAnsi="Times New Roman" w:cs="Times New Roman"/>
          <w:color w:val="000000"/>
        </w:rPr>
        <w:t xml:space="preserve">One of the riskiest parts </w:t>
      </w:r>
      <w:r w:rsidRPr="00D81287">
        <w:rPr>
          <w:rFonts w:ascii="Times New Roman" w:eastAsia="MS Mincho" w:hAnsi="Times New Roman" w:cs="Times New Roman"/>
          <w:color w:val="000000"/>
        </w:rPr>
        <w:t xml:space="preserve">of buying this bond comes from its duration. </w:t>
      </w:r>
      <w:r w:rsidR="00493E71">
        <w:rPr>
          <w:rFonts w:ascii="Times New Roman" w:eastAsia="MS Mincho" w:hAnsi="Times New Roman" w:cs="Times New Roman"/>
          <w:color w:val="000000"/>
        </w:rPr>
        <w:t>T</w:t>
      </w:r>
      <w:r w:rsidRPr="00D81287">
        <w:rPr>
          <w:rFonts w:ascii="Times New Roman" w:eastAsia="MS Mincho" w:hAnsi="Times New Roman" w:cs="Times New Roman"/>
          <w:color w:val="000000"/>
        </w:rPr>
        <w:t xml:space="preserve">he modified duration </w:t>
      </w:r>
      <w:r w:rsidR="00493E71">
        <w:rPr>
          <w:rFonts w:ascii="Times New Roman" w:eastAsia="MS Mincho" w:hAnsi="Times New Roman" w:cs="Times New Roman"/>
          <w:color w:val="000000"/>
        </w:rPr>
        <w:t>is</w:t>
      </w:r>
      <w:r w:rsidRPr="00D81287">
        <w:rPr>
          <w:rFonts w:ascii="Times New Roman" w:eastAsia="MS Mincho" w:hAnsi="Times New Roman" w:cs="Times New Roman"/>
          <w:color w:val="000000"/>
        </w:rPr>
        <w:t xml:space="preserve"> </w:t>
      </w:r>
      <w:r>
        <w:rPr>
          <w:rFonts w:ascii="Times New Roman" w:eastAsia="MS Mincho" w:hAnsi="Times New Roman" w:cs="Times New Roman"/>
          <w:color w:val="000000"/>
        </w:rPr>
        <w:t xml:space="preserve">6.0209 years, </w:t>
      </w:r>
      <w:r w:rsidRPr="00D81287">
        <w:rPr>
          <w:rFonts w:ascii="Times New Roman" w:eastAsia="MS Mincho" w:hAnsi="Times New Roman" w:cs="Times New Roman"/>
          <w:color w:val="000000"/>
        </w:rPr>
        <w:t xml:space="preserve">which is considerably high. This means that the bond has </w:t>
      </w:r>
      <w:r w:rsidR="00493E71">
        <w:rPr>
          <w:rFonts w:ascii="Times New Roman" w:eastAsia="MS Mincho" w:hAnsi="Times New Roman" w:cs="Times New Roman"/>
          <w:color w:val="000000"/>
        </w:rPr>
        <w:t>more than</w:t>
      </w:r>
      <w:r w:rsidRPr="00D81287">
        <w:rPr>
          <w:rFonts w:ascii="Times New Roman" w:eastAsia="MS Mincho" w:hAnsi="Times New Roman" w:cs="Times New Roman"/>
          <w:color w:val="000000"/>
        </w:rPr>
        <w:t xml:space="preserve"> 6 years of interest rate risk before an investor will realize its value</w:t>
      </w:r>
      <w:r>
        <w:rPr>
          <w:rFonts w:ascii="Times New Roman" w:eastAsia="MS Mincho" w:hAnsi="Times New Roman" w:cs="Times New Roman"/>
          <w:color w:val="000000"/>
        </w:rPr>
        <w:t xml:space="preserve">. </w:t>
      </w:r>
      <w:r w:rsidR="00493E71">
        <w:rPr>
          <w:rFonts w:ascii="Times New Roman" w:eastAsia="MS Mincho" w:hAnsi="Times New Roman" w:cs="Times New Roman"/>
          <w:color w:val="000000"/>
        </w:rPr>
        <w:t xml:space="preserve">However, </w:t>
      </w:r>
      <w:r w:rsidR="00493E71">
        <w:rPr>
          <w:rFonts w:ascii="Times" w:hAnsi="Times" w:cs="Times New Roman"/>
        </w:rPr>
        <w:t>t</w:t>
      </w:r>
      <w:r w:rsidRPr="00A317D9">
        <w:rPr>
          <w:rFonts w:ascii="Times" w:hAnsi="Times" w:cs="Times New Roman"/>
        </w:rPr>
        <w:t xml:space="preserve">he yield to first call is 4.308%, which </w:t>
      </w:r>
      <w:r>
        <w:rPr>
          <w:rFonts w:ascii="Times" w:hAnsi="Times" w:cs="Times New Roman"/>
        </w:rPr>
        <w:t>is</w:t>
      </w:r>
      <w:r w:rsidRPr="00A317D9">
        <w:rPr>
          <w:rFonts w:ascii="Times" w:hAnsi="Times" w:cs="Times New Roman"/>
        </w:rPr>
        <w:t xml:space="preserve"> less than the coupon rate. </w:t>
      </w:r>
      <w:r>
        <w:rPr>
          <w:rFonts w:ascii="Times" w:hAnsi="Times" w:cs="Times New Roman"/>
        </w:rPr>
        <w:t xml:space="preserve">If the bond were to be called, investors would receive lower return. </w:t>
      </w:r>
      <w:r w:rsidR="00493E71">
        <w:rPr>
          <w:rFonts w:ascii="Times" w:hAnsi="Times" w:cs="Times New Roman"/>
        </w:rPr>
        <w:t>As</w:t>
      </w:r>
      <w:r>
        <w:rPr>
          <w:rFonts w:ascii="Times" w:hAnsi="Times" w:cs="Times New Roman"/>
        </w:rPr>
        <w:t>, Noble Energy Inc. is not financing with a significant amount of debt</w:t>
      </w:r>
      <w:r>
        <w:rPr>
          <w:rFonts w:ascii="Times" w:hAnsi="Times" w:cs="Times New Roman" w:hint="eastAsia"/>
          <w:lang w:eastAsia="zh-CN"/>
        </w:rPr>
        <w:t xml:space="preserve"> and able to repay its debt</w:t>
      </w:r>
      <w:r>
        <w:rPr>
          <w:rFonts w:ascii="Times" w:hAnsi="Times" w:cs="Times New Roman"/>
        </w:rPr>
        <w:t xml:space="preserve">, so it is likely that they will </w:t>
      </w:r>
      <w:r w:rsidR="00493E71">
        <w:rPr>
          <w:rFonts w:ascii="Times" w:hAnsi="Times" w:cs="Times New Roman"/>
        </w:rPr>
        <w:t xml:space="preserve">be willing to </w:t>
      </w:r>
      <w:r>
        <w:rPr>
          <w:rFonts w:ascii="Times" w:hAnsi="Times" w:cs="Times New Roman"/>
        </w:rPr>
        <w:t>call the bonds before 2024</w:t>
      </w:r>
      <w:r w:rsidR="00493E71">
        <w:rPr>
          <w:rFonts w:ascii="Times" w:hAnsi="Times" w:cs="Times New Roman"/>
        </w:rPr>
        <w:t xml:space="preserve"> and be able to pay for the bonds</w:t>
      </w:r>
      <w:r>
        <w:rPr>
          <w:rFonts w:ascii="Times" w:hAnsi="Times" w:cs="Times New Roman"/>
        </w:rPr>
        <w:t xml:space="preserve">. </w:t>
      </w:r>
    </w:p>
    <w:p w14:paraId="6E528AA3" w14:textId="77777777" w:rsidR="00D06F6E" w:rsidRPr="0067519D" w:rsidRDefault="00D06F6E" w:rsidP="00D06F6E">
      <w:pPr>
        <w:spacing w:line="480" w:lineRule="auto"/>
        <w:ind w:firstLine="720"/>
        <w:rPr>
          <w:rFonts w:ascii="Times" w:hAnsi="Times" w:cs="Times New Roman"/>
          <w:lang w:eastAsia="zh-CN"/>
        </w:rPr>
      </w:pPr>
      <w:r w:rsidRPr="002C4A89">
        <w:rPr>
          <w:rFonts w:ascii="Times New Roman" w:eastAsia="MS Mincho" w:hAnsi="Times New Roman" w:cs="Times New Roman"/>
          <w:color w:val="000000"/>
        </w:rPr>
        <w:t xml:space="preserve">Considering the financial health of </w:t>
      </w:r>
      <w:r>
        <w:rPr>
          <w:rFonts w:ascii="Times New Roman" w:eastAsia="MS Mincho" w:hAnsi="Times New Roman" w:cs="Times New Roman" w:hint="eastAsia"/>
          <w:color w:val="000000"/>
          <w:lang w:eastAsia="zh-CN"/>
        </w:rPr>
        <w:t xml:space="preserve">Noble Energy </w:t>
      </w:r>
      <w:r w:rsidRPr="002C4A89">
        <w:rPr>
          <w:rFonts w:ascii="Times New Roman" w:eastAsia="MS Mincho" w:hAnsi="Times New Roman" w:cs="Times New Roman"/>
          <w:color w:val="000000"/>
        </w:rPr>
        <w:t xml:space="preserve">Inc. and all other factors analyzed, we would </w:t>
      </w:r>
      <w:r>
        <w:rPr>
          <w:rFonts w:ascii="Times New Roman" w:eastAsia="MS Mincho" w:hAnsi="Times New Roman" w:cs="Times New Roman"/>
          <w:color w:val="000000"/>
        </w:rPr>
        <w:t>not recommend a</w:t>
      </w:r>
      <w:r w:rsidRPr="002C4A89">
        <w:rPr>
          <w:rFonts w:ascii="Times New Roman" w:eastAsia="MS Mincho" w:hAnsi="Times New Roman" w:cs="Times New Roman"/>
          <w:color w:val="000000"/>
        </w:rPr>
        <w:t xml:space="preserve"> </w:t>
      </w:r>
      <w:r>
        <w:rPr>
          <w:rFonts w:ascii="Times New Roman" w:eastAsia="MS Mincho" w:hAnsi="Times New Roman" w:cs="Times New Roman" w:hint="eastAsia"/>
          <w:color w:val="000000"/>
          <w:lang w:eastAsia="zh-CN"/>
        </w:rPr>
        <w:t xml:space="preserve">risk-averse </w:t>
      </w:r>
      <w:r w:rsidRPr="002C4A89">
        <w:rPr>
          <w:rFonts w:ascii="Times New Roman" w:eastAsia="MS Mincho" w:hAnsi="Times New Roman" w:cs="Times New Roman"/>
          <w:color w:val="000000"/>
        </w:rPr>
        <w:t>investor to invest in their corporate bond.</w:t>
      </w:r>
    </w:p>
    <w:p w14:paraId="3C09C92E" w14:textId="61FB942C" w:rsidR="00D06F6E" w:rsidRDefault="00D06F6E">
      <w:pPr>
        <w:rPr>
          <w:rFonts w:ascii="Times New Roman" w:hAnsi="Times New Roman"/>
          <w:lang w:eastAsia="zh-CN"/>
        </w:rPr>
      </w:pPr>
      <w:r>
        <w:rPr>
          <w:rFonts w:ascii="Times New Roman" w:hAnsi="Times New Roman"/>
          <w:lang w:eastAsia="zh-CN"/>
        </w:rPr>
        <w:br w:type="page"/>
      </w:r>
    </w:p>
    <w:p w14:paraId="17799750" w14:textId="2C94BA4A" w:rsidR="00786D83" w:rsidRDefault="00786D83" w:rsidP="001E5E2C">
      <w:pPr>
        <w:spacing w:line="480" w:lineRule="auto"/>
        <w:rPr>
          <w:rFonts w:ascii="Times New Roman" w:hAnsi="Times New Roman"/>
          <w:lang w:eastAsia="zh-CN"/>
        </w:rPr>
      </w:pPr>
      <w:r>
        <w:rPr>
          <w:rFonts w:ascii="Times New Roman" w:hAnsi="Times New Roman"/>
          <w:lang w:eastAsia="zh-CN"/>
        </w:rPr>
        <w:lastRenderedPageBreak/>
        <w:t>Appendix A: Bond Prospectus</w:t>
      </w:r>
    </w:p>
    <w:p w14:paraId="02351D74" w14:textId="2E5C30EC" w:rsidR="002306F7" w:rsidRDefault="002306F7" w:rsidP="00786D83">
      <w:pPr>
        <w:widowControl w:val="0"/>
        <w:autoSpaceDE w:val="0"/>
        <w:autoSpaceDN w:val="0"/>
        <w:adjustRightInd w:val="0"/>
        <w:jc w:val="right"/>
        <w:rPr>
          <w:rFonts w:ascii="Times New Roman" w:hAnsi="Times New Roman" w:cs="Times New Roman"/>
          <w:b/>
          <w:bCs/>
          <w:sz w:val="26"/>
          <w:szCs w:val="26"/>
          <w:u w:color="0000E9"/>
          <w:lang w:eastAsia="zh-CN"/>
        </w:rPr>
      </w:pPr>
      <w:r>
        <w:rPr>
          <w:rFonts w:ascii="Times New Roman" w:hAnsi="Times New Roman"/>
          <w:noProof/>
        </w:rPr>
        <mc:AlternateContent>
          <mc:Choice Requires="wps">
            <w:drawing>
              <wp:anchor distT="0" distB="0" distL="114300" distR="114300" simplePos="0" relativeHeight="251660288" behindDoc="0" locked="0" layoutInCell="1" allowOverlap="1" wp14:anchorId="06AB1F29" wp14:editId="0073FD01">
                <wp:simplePos x="0" y="0"/>
                <wp:positionH relativeFrom="column">
                  <wp:posOffset>0</wp:posOffset>
                </wp:positionH>
                <wp:positionV relativeFrom="paragraph">
                  <wp:posOffset>106680</wp:posOffset>
                </wp:positionV>
                <wp:extent cx="274320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43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9DEED9" w14:textId="77777777" w:rsidR="00493E71" w:rsidRPr="002306F7" w:rsidRDefault="00493E71" w:rsidP="002306F7">
                            <w:pPr>
                              <w:widowControl w:val="0"/>
                              <w:autoSpaceDE w:val="0"/>
                              <w:autoSpaceDN w:val="0"/>
                              <w:adjustRightInd w:val="0"/>
                              <w:rPr>
                                <w:rFonts w:ascii="Times New Roman" w:hAnsi="Times New Roman" w:cs="Times New Roman"/>
                                <w:b/>
                                <w:bCs/>
                                <w:sz w:val="20"/>
                                <w:szCs w:val="20"/>
                              </w:rPr>
                            </w:pPr>
                            <w:r w:rsidRPr="002306F7">
                              <w:rPr>
                                <w:rFonts w:ascii="Times New Roman" w:hAnsi="Times New Roman" w:cs="Times New Roman"/>
                                <w:sz w:val="20"/>
                                <w:szCs w:val="20"/>
                              </w:rPr>
                              <w:t>424B3 1 d943440d424b3.htm 424B3</w:t>
                            </w:r>
                          </w:p>
                          <w:p w14:paraId="4EE0CE60" w14:textId="77777777" w:rsidR="00493E71" w:rsidRPr="002306F7" w:rsidRDefault="00493E71" w:rsidP="002306F7">
                            <w:pPr>
                              <w:widowControl w:val="0"/>
                              <w:autoSpaceDE w:val="0"/>
                              <w:autoSpaceDN w:val="0"/>
                              <w:adjustRightInd w:val="0"/>
                              <w:rPr>
                                <w:rFonts w:ascii="Times" w:hAnsi="Times" w:cs="Times"/>
                                <w:b/>
                                <w:bCs/>
                                <w:sz w:val="20"/>
                                <w:szCs w:val="20"/>
                                <w:u w:color="0000E9"/>
                              </w:rPr>
                            </w:pPr>
                            <w:r w:rsidRPr="002306F7">
                              <w:rPr>
                                <w:rFonts w:ascii="Times" w:hAnsi="Times" w:cs="Times"/>
                                <w:b/>
                                <w:bCs/>
                                <w:color w:val="0000E9"/>
                                <w:sz w:val="20"/>
                                <w:szCs w:val="20"/>
                                <w:u w:val="single" w:color="0000E9"/>
                              </w:rPr>
                              <w:t>Table of Contents</w:t>
                            </w:r>
                          </w:p>
                          <w:p w14:paraId="0E969BE8" w14:textId="77777777" w:rsidR="00493E71" w:rsidRDefault="00493E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0;margin-top:8.4pt;width:3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" filled="f" stroked="f">
                <v:textbox>
                  <w:txbxContent>
                    <w:p w14:paraId="1D9DEED9" w14:textId="77777777" w:rsidR="00A43BF0" w:rsidRPr="002306F7" w:rsidRDefault="00A43BF0" w:rsidP="002306F7">
                      <w:pPr>
                        <w:widowControl w:val="0"/>
                        <w:autoSpaceDE w:val="0"/>
                        <w:autoSpaceDN w:val="0"/>
                        <w:adjustRightInd w:val="0"/>
                        <w:rPr>
                          <w:rFonts w:ascii="Times New Roman" w:hAnsi="Times New Roman" w:cs="Times New Roman"/>
                          <w:b/>
                          <w:bCs/>
                          <w:sz w:val="20"/>
                          <w:szCs w:val="20"/>
                        </w:rPr>
                      </w:pPr>
                      <w:r w:rsidRPr="002306F7">
                        <w:rPr>
                          <w:rFonts w:ascii="Times New Roman" w:hAnsi="Times New Roman" w:cs="Times New Roman"/>
                          <w:sz w:val="20"/>
                          <w:szCs w:val="20"/>
                        </w:rPr>
                        <w:t>424B3 1 d943440d424b3.htm 424B3</w:t>
                      </w:r>
                    </w:p>
                    <w:p w14:paraId="4EE0CE60" w14:textId="77777777" w:rsidR="00A43BF0" w:rsidRPr="002306F7" w:rsidRDefault="00A43BF0" w:rsidP="002306F7">
                      <w:pPr>
                        <w:widowControl w:val="0"/>
                        <w:autoSpaceDE w:val="0"/>
                        <w:autoSpaceDN w:val="0"/>
                        <w:adjustRightInd w:val="0"/>
                        <w:rPr>
                          <w:rFonts w:ascii="Times" w:hAnsi="Times" w:cs="Times"/>
                          <w:b/>
                          <w:bCs/>
                          <w:sz w:val="20"/>
                          <w:szCs w:val="20"/>
                          <w:u w:color="0000E9"/>
                        </w:rPr>
                      </w:pPr>
                      <w:r w:rsidRPr="002306F7">
                        <w:rPr>
                          <w:rFonts w:ascii="Times" w:hAnsi="Times" w:cs="Times"/>
                          <w:b/>
                          <w:bCs/>
                          <w:color w:val="0000E9"/>
                          <w:sz w:val="20"/>
                          <w:szCs w:val="20"/>
                          <w:u w:val="single" w:color="0000E9"/>
                        </w:rPr>
                        <w:t>Table of Contents</w:t>
                      </w:r>
                    </w:p>
                    <w:p w14:paraId="0E969BE8" w14:textId="77777777" w:rsidR="00A43BF0" w:rsidRDefault="00A43BF0"/>
                  </w:txbxContent>
                </v:textbox>
                <w10:wrap type="square"/>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FB3319" wp14:editId="21CDA015">
                <wp:simplePos x="0" y="0"/>
                <wp:positionH relativeFrom="column">
                  <wp:posOffset>3657600</wp:posOffset>
                </wp:positionH>
                <wp:positionV relativeFrom="paragraph">
                  <wp:posOffset>106680</wp:posOffset>
                </wp:positionV>
                <wp:extent cx="19431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0B1DED" w14:textId="1236A213" w:rsidR="00493E71" w:rsidRDefault="00493E71">
                            <w:pPr>
                              <w:rPr>
                                <w:rFonts w:ascii="Times New Roman" w:hAnsi="Times New Roman" w:cs="Times New Roman"/>
                                <w:b/>
                                <w:bCs/>
                                <w:sz w:val="20"/>
                                <w:szCs w:val="20"/>
                                <w:u w:color="0000E9"/>
                                <w:lang w:eastAsia="zh-CN"/>
                              </w:rPr>
                            </w:pPr>
                            <w:r w:rsidRPr="002306F7">
                              <w:rPr>
                                <w:rFonts w:ascii="Times New Roman" w:hAnsi="Times New Roman" w:cs="Times New Roman"/>
                                <w:b/>
                                <w:bCs/>
                                <w:sz w:val="20"/>
                                <w:szCs w:val="20"/>
                                <w:u w:color="0000E9"/>
                              </w:rPr>
                              <w:t>Filed Pursuant to Rule 424(b)(3)</w:t>
                            </w:r>
                          </w:p>
                          <w:p w14:paraId="1F3BEE11" w14:textId="5928B341" w:rsidR="00493E71" w:rsidRPr="002306F7" w:rsidRDefault="00493E71">
                            <w:pPr>
                              <w:rPr>
                                <w:sz w:val="20"/>
                                <w:szCs w:val="20"/>
                                <w:lang w:eastAsia="zh-CN"/>
                              </w:rPr>
                            </w:pPr>
                            <w:r w:rsidRPr="002306F7">
                              <w:rPr>
                                <w:rFonts w:ascii="Times New Roman" w:hAnsi="Times New Roman" w:cs="Times New Roman"/>
                                <w:b/>
                                <w:bCs/>
                                <w:sz w:val="20"/>
                                <w:szCs w:val="20"/>
                                <w:u w:color="0000E9"/>
                              </w:rPr>
                              <w:t>Registration No. 333-205313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27" type="#_x0000_t202" style="position:absolute;left:0;text-align:left;margin-left:4in;margin-top:8.4pt;width:153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" filled="f" stroked="f">
                <v:textbox>
                  <w:txbxContent>
                    <w:p w14:paraId="040B1DED" w14:textId="1236A213" w:rsidR="00A43BF0" w:rsidRDefault="00A43BF0">
                      <w:pPr>
                        <w:rPr>
                          <w:rFonts w:ascii="Times New Roman" w:hAnsi="Times New Roman" w:cs="Times New Roman" w:hint="eastAsia"/>
                          <w:b/>
                          <w:bCs/>
                          <w:sz w:val="20"/>
                          <w:szCs w:val="20"/>
                          <w:u w:color="0000E9"/>
                          <w:lang w:eastAsia="zh-CN"/>
                        </w:rPr>
                      </w:pPr>
                      <w:r w:rsidRPr="002306F7">
                        <w:rPr>
                          <w:rFonts w:ascii="Times New Roman" w:hAnsi="Times New Roman" w:cs="Times New Roman"/>
                          <w:b/>
                          <w:bCs/>
                          <w:sz w:val="20"/>
                          <w:szCs w:val="20"/>
                          <w:u w:color="0000E9"/>
                        </w:rPr>
                        <w:t>Filed Pursuant to Rule 424(b)(3)</w:t>
                      </w:r>
                    </w:p>
                    <w:p w14:paraId="1F3BEE11" w14:textId="5928B341" w:rsidR="00A43BF0" w:rsidRPr="002306F7" w:rsidRDefault="00A43BF0">
                      <w:pPr>
                        <w:rPr>
                          <w:rFonts w:hint="eastAsia"/>
                          <w:sz w:val="20"/>
                          <w:szCs w:val="20"/>
                          <w:lang w:eastAsia="zh-CN"/>
                        </w:rPr>
                      </w:pPr>
                      <w:r w:rsidRPr="002306F7">
                        <w:rPr>
                          <w:rFonts w:ascii="Times New Roman" w:hAnsi="Times New Roman" w:cs="Times New Roman"/>
                          <w:b/>
                          <w:bCs/>
                          <w:sz w:val="20"/>
                          <w:szCs w:val="20"/>
                          <w:u w:color="0000E9"/>
                        </w:rPr>
                        <w:t>Registration No. 333-205313</w:t>
                      </w:r>
                    </w:p>
                  </w:txbxContent>
                </v:textbox>
                <w10:wrap type="square"/>
              </v:shape>
            </w:pict>
          </mc:Fallback>
        </mc:AlternateContent>
      </w:r>
    </w:p>
    <w:p w14:paraId="4AB79E9E" w14:textId="77777777" w:rsidR="002306F7" w:rsidRDefault="002306F7" w:rsidP="00786D83">
      <w:pPr>
        <w:widowControl w:val="0"/>
        <w:autoSpaceDE w:val="0"/>
        <w:autoSpaceDN w:val="0"/>
        <w:adjustRightInd w:val="0"/>
        <w:jc w:val="right"/>
        <w:rPr>
          <w:rFonts w:ascii="Times New Roman" w:hAnsi="Times New Roman" w:cs="Times New Roman"/>
          <w:b/>
          <w:bCs/>
          <w:sz w:val="26"/>
          <w:szCs w:val="26"/>
          <w:u w:color="0000E9"/>
          <w:lang w:eastAsia="zh-CN"/>
        </w:rPr>
      </w:pPr>
    </w:p>
    <w:p w14:paraId="4BE8BECF" w14:textId="77777777" w:rsidR="002306F7" w:rsidRDefault="002306F7" w:rsidP="00786D83">
      <w:pPr>
        <w:widowControl w:val="0"/>
        <w:autoSpaceDE w:val="0"/>
        <w:autoSpaceDN w:val="0"/>
        <w:adjustRightInd w:val="0"/>
        <w:jc w:val="right"/>
        <w:rPr>
          <w:rFonts w:ascii="Times New Roman" w:hAnsi="Times New Roman" w:cs="Times New Roman"/>
          <w:b/>
          <w:bCs/>
          <w:sz w:val="26"/>
          <w:szCs w:val="26"/>
          <w:u w:color="0000E9"/>
          <w:lang w:eastAsia="zh-CN"/>
        </w:rPr>
      </w:pPr>
    </w:p>
    <w:p w14:paraId="435EE61B" w14:textId="77777777" w:rsidR="002306F7" w:rsidRDefault="002306F7" w:rsidP="00786D83">
      <w:pPr>
        <w:widowControl w:val="0"/>
        <w:autoSpaceDE w:val="0"/>
        <w:autoSpaceDN w:val="0"/>
        <w:adjustRightInd w:val="0"/>
        <w:rPr>
          <w:rFonts w:ascii="Times New Roman" w:hAnsi="Times New Roman" w:cs="Times New Roman"/>
          <w:b/>
          <w:bCs/>
          <w:sz w:val="26"/>
          <w:szCs w:val="26"/>
          <w:u w:color="0000E9"/>
          <w:lang w:eastAsia="zh-CN"/>
        </w:rPr>
      </w:pPr>
    </w:p>
    <w:p w14:paraId="41517CEE" w14:textId="29D09E8A" w:rsidR="00786D83" w:rsidRPr="002306F7" w:rsidRDefault="00786D83" w:rsidP="00786D83">
      <w:pPr>
        <w:widowControl w:val="0"/>
        <w:autoSpaceDE w:val="0"/>
        <w:autoSpaceDN w:val="0"/>
        <w:adjustRightInd w:val="0"/>
        <w:rPr>
          <w:rFonts w:ascii="Times" w:hAnsi="Times" w:cs="Times"/>
          <w:sz w:val="20"/>
          <w:szCs w:val="20"/>
          <w:u w:color="0000E9"/>
        </w:rPr>
      </w:pPr>
      <w:r w:rsidRPr="002306F7">
        <w:rPr>
          <w:rFonts w:ascii="Times New Roman" w:hAnsi="Times New Roman" w:cs="Times New Roman"/>
          <w:b/>
          <w:bCs/>
          <w:sz w:val="20"/>
          <w:szCs w:val="20"/>
          <w:u w:color="0000E9"/>
        </w:rPr>
        <w:t>PROSPECTUS</w:t>
      </w:r>
    </w:p>
    <w:p w14:paraId="6E329983" w14:textId="77777777" w:rsidR="00786D83" w:rsidRDefault="00786D83" w:rsidP="00786D83">
      <w:pPr>
        <w:widowControl w:val="0"/>
        <w:autoSpaceDE w:val="0"/>
        <w:autoSpaceDN w:val="0"/>
        <w:adjustRightInd w:val="0"/>
        <w:rPr>
          <w:rFonts w:ascii="Times" w:hAnsi="Times" w:cs="Times"/>
          <w:sz w:val="16"/>
          <w:szCs w:val="16"/>
          <w:u w:color="0000E9"/>
        </w:rPr>
      </w:pPr>
      <w:r>
        <w:rPr>
          <w:rFonts w:ascii="Times" w:hAnsi="Times" w:cs="Times"/>
          <w:sz w:val="16"/>
          <w:szCs w:val="16"/>
          <w:u w:color="0000E9"/>
        </w:rPr>
        <w:t> </w:t>
      </w:r>
    </w:p>
    <w:p w14:paraId="26383BBD" w14:textId="4A4A694C" w:rsidR="00786D83" w:rsidRDefault="002306F7" w:rsidP="002306F7">
      <w:pPr>
        <w:widowControl w:val="0"/>
        <w:autoSpaceDE w:val="0"/>
        <w:autoSpaceDN w:val="0"/>
        <w:adjustRightInd w:val="0"/>
        <w:jc w:val="center"/>
        <w:rPr>
          <w:rFonts w:ascii="Times" w:hAnsi="Times" w:cs="Times"/>
          <w:sz w:val="32"/>
          <w:szCs w:val="32"/>
          <w:u w:color="0000E9"/>
          <w:lang w:eastAsia="zh-CN"/>
        </w:rPr>
      </w:pPr>
      <w:r>
        <w:rPr>
          <w:rFonts w:ascii="Times" w:hAnsi="Times" w:cs="Times" w:hint="eastAsia"/>
          <w:noProof/>
          <w:sz w:val="32"/>
          <w:szCs w:val="32"/>
          <w:u w:color="0000E9"/>
        </w:rPr>
        <w:drawing>
          <wp:inline distT="0" distB="0" distL="0" distR="0" wp14:anchorId="23B66213" wp14:editId="17F89DDD">
            <wp:extent cx="1816100" cy="5715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03.46 PM.png"/>
                    <pic:cNvPicPr/>
                  </pic:nvPicPr>
                  <pic:blipFill>
                    <a:blip r:embed="rId9">
                      <a:extLst>
                        <a:ext uri="{28A0092B-C50C-407E-A947-70E740481C1C}">
                          <a14:useLocalDpi xmlns:a14="http://schemas.microsoft.com/office/drawing/2010/main" val="0"/>
                        </a:ext>
                      </a:extLst>
                    </a:blip>
                    <a:stretch>
                      <a:fillRect/>
                    </a:stretch>
                  </pic:blipFill>
                  <pic:spPr>
                    <a:xfrm>
                      <a:off x="0" y="0"/>
                      <a:ext cx="1816100" cy="571500"/>
                    </a:xfrm>
                    <a:prstGeom prst="rect">
                      <a:avLst/>
                    </a:prstGeom>
                  </pic:spPr>
                </pic:pic>
              </a:graphicData>
            </a:graphic>
          </wp:inline>
        </w:drawing>
      </w:r>
    </w:p>
    <w:p w14:paraId="565892F5" w14:textId="77777777" w:rsidR="00786D83" w:rsidRPr="002306F7" w:rsidRDefault="00786D83" w:rsidP="00786D83">
      <w:pPr>
        <w:widowControl w:val="0"/>
        <w:autoSpaceDE w:val="0"/>
        <w:autoSpaceDN w:val="0"/>
        <w:adjustRightInd w:val="0"/>
        <w:jc w:val="center"/>
        <w:rPr>
          <w:rFonts w:ascii="Times New Roman" w:hAnsi="Times New Roman" w:cs="Times New Roman"/>
          <w:sz w:val="28"/>
          <w:szCs w:val="28"/>
          <w:u w:color="0000E9"/>
        </w:rPr>
      </w:pPr>
      <w:r w:rsidRPr="002306F7">
        <w:rPr>
          <w:rFonts w:ascii="Times New Roman" w:hAnsi="Times New Roman" w:cs="Times New Roman"/>
          <w:b/>
          <w:bCs/>
          <w:sz w:val="28"/>
          <w:szCs w:val="28"/>
          <w:u w:color="0000E9"/>
        </w:rPr>
        <w:t>Noble Energy, Inc.</w:t>
      </w:r>
    </w:p>
    <w:p w14:paraId="1F0A9DEB" w14:textId="77777777" w:rsidR="00786D83" w:rsidRPr="002306F7" w:rsidRDefault="00786D83" w:rsidP="00786D83">
      <w:pPr>
        <w:widowControl w:val="0"/>
        <w:autoSpaceDE w:val="0"/>
        <w:autoSpaceDN w:val="0"/>
        <w:adjustRightInd w:val="0"/>
        <w:jc w:val="center"/>
        <w:rPr>
          <w:rFonts w:ascii="Times New Roman" w:hAnsi="Times New Roman" w:cs="Times New Roman"/>
          <w:sz w:val="20"/>
          <w:szCs w:val="20"/>
          <w:u w:color="0000E9"/>
        </w:rPr>
      </w:pPr>
      <w:r w:rsidRPr="002306F7">
        <w:rPr>
          <w:rFonts w:ascii="Times New Roman" w:hAnsi="Times New Roman" w:cs="Times New Roman"/>
          <w:b/>
          <w:bCs/>
          <w:sz w:val="20"/>
          <w:szCs w:val="20"/>
          <w:u w:color="0000E9"/>
        </w:rPr>
        <w:t>Offers to Exchange</w:t>
      </w:r>
    </w:p>
    <w:p w14:paraId="7558FCD6" w14:textId="77777777" w:rsidR="00786D83" w:rsidRPr="002306F7" w:rsidRDefault="00786D83" w:rsidP="00786D83">
      <w:pPr>
        <w:widowControl w:val="0"/>
        <w:autoSpaceDE w:val="0"/>
        <w:autoSpaceDN w:val="0"/>
        <w:adjustRightInd w:val="0"/>
        <w:jc w:val="center"/>
        <w:rPr>
          <w:rFonts w:ascii="Times New Roman" w:hAnsi="Times New Roman" w:cs="Times New Roman"/>
          <w:sz w:val="20"/>
          <w:szCs w:val="20"/>
          <w:u w:color="0000E9"/>
        </w:rPr>
      </w:pPr>
      <w:r w:rsidRPr="002306F7">
        <w:rPr>
          <w:rFonts w:ascii="Times New Roman" w:hAnsi="Times New Roman" w:cs="Times New Roman"/>
          <w:b/>
          <w:bCs/>
          <w:sz w:val="20"/>
          <w:szCs w:val="20"/>
          <w:u w:color="0000E9"/>
        </w:rPr>
        <w:t>All Outstanding Senior Notes of the Series Specified Below</w:t>
      </w:r>
    </w:p>
    <w:p w14:paraId="71E88DFB" w14:textId="77777777" w:rsidR="00786D83" w:rsidRPr="002306F7" w:rsidRDefault="00786D83" w:rsidP="00786D83">
      <w:pPr>
        <w:widowControl w:val="0"/>
        <w:autoSpaceDE w:val="0"/>
        <w:autoSpaceDN w:val="0"/>
        <w:adjustRightInd w:val="0"/>
        <w:jc w:val="center"/>
        <w:rPr>
          <w:rFonts w:ascii="Times New Roman" w:hAnsi="Times New Roman" w:cs="Times New Roman"/>
          <w:sz w:val="20"/>
          <w:szCs w:val="20"/>
          <w:u w:color="0000E9"/>
        </w:rPr>
      </w:pPr>
      <w:r w:rsidRPr="002306F7">
        <w:rPr>
          <w:rFonts w:ascii="Times New Roman" w:hAnsi="Times New Roman" w:cs="Times New Roman"/>
          <w:b/>
          <w:bCs/>
          <w:sz w:val="20"/>
          <w:szCs w:val="20"/>
          <w:u w:color="0000E9"/>
        </w:rPr>
        <w:t>and Solicitation of Consents to Amend the Related Indentures</w:t>
      </w:r>
    </w:p>
    <w:p w14:paraId="019BDA49" w14:textId="77777777" w:rsidR="00786D83" w:rsidRPr="002306F7" w:rsidRDefault="00786D83" w:rsidP="00786D83">
      <w:pPr>
        <w:widowControl w:val="0"/>
        <w:autoSpaceDE w:val="0"/>
        <w:autoSpaceDN w:val="0"/>
        <w:adjustRightInd w:val="0"/>
        <w:jc w:val="center"/>
        <w:rPr>
          <w:rFonts w:ascii="Times New Roman" w:hAnsi="Times New Roman" w:cs="Times New Roman"/>
          <w:sz w:val="20"/>
          <w:szCs w:val="20"/>
          <w:u w:color="0000E9"/>
        </w:rPr>
      </w:pPr>
      <w:r w:rsidRPr="002306F7">
        <w:rPr>
          <w:rFonts w:ascii="Times New Roman" w:hAnsi="Times New Roman" w:cs="Times New Roman"/>
          <w:b/>
          <w:bCs/>
          <w:sz w:val="20"/>
          <w:szCs w:val="20"/>
          <w:u w:color="0000E9"/>
        </w:rPr>
        <w:t>Early Consent Date: 5:00 p.m., New York City Time, July 13, 2015, unless extended</w:t>
      </w:r>
    </w:p>
    <w:p w14:paraId="5311DEFC" w14:textId="77777777" w:rsidR="00786D83" w:rsidRPr="002306F7" w:rsidRDefault="00786D83" w:rsidP="00786D83">
      <w:pPr>
        <w:widowControl w:val="0"/>
        <w:autoSpaceDE w:val="0"/>
        <w:autoSpaceDN w:val="0"/>
        <w:adjustRightInd w:val="0"/>
        <w:jc w:val="center"/>
        <w:rPr>
          <w:rFonts w:ascii="Times New Roman" w:hAnsi="Times New Roman" w:cs="Times New Roman"/>
          <w:sz w:val="20"/>
          <w:szCs w:val="20"/>
          <w:u w:color="0000E9"/>
        </w:rPr>
      </w:pPr>
      <w:r w:rsidRPr="002306F7">
        <w:rPr>
          <w:rFonts w:ascii="Times New Roman" w:hAnsi="Times New Roman" w:cs="Times New Roman"/>
          <w:b/>
          <w:bCs/>
          <w:sz w:val="20"/>
          <w:szCs w:val="20"/>
          <w:u w:color="0000E9"/>
        </w:rPr>
        <w:t>Expiration Date: 11:59 p.m., New York City Time, July 27, 2015, unless extended</w:t>
      </w:r>
    </w:p>
    <w:p w14:paraId="6FA459CA" w14:textId="77777777" w:rsidR="00786D83" w:rsidRPr="002306F7" w:rsidRDefault="00786D83" w:rsidP="00786D83">
      <w:pPr>
        <w:widowControl w:val="0"/>
        <w:autoSpaceDE w:val="0"/>
        <w:autoSpaceDN w:val="0"/>
        <w:adjustRightInd w:val="0"/>
        <w:rPr>
          <w:rFonts w:ascii="Times" w:hAnsi="Times" w:cs="Times"/>
          <w:sz w:val="20"/>
          <w:szCs w:val="20"/>
          <w:u w:color="0000E9"/>
        </w:rPr>
      </w:pPr>
      <w:r w:rsidRPr="002306F7">
        <w:rPr>
          <w:rFonts w:ascii="Times" w:hAnsi="Times" w:cs="Times"/>
          <w:sz w:val="20"/>
          <w:szCs w:val="20"/>
          <w:u w:color="0000E9"/>
        </w:rPr>
        <w:t> </w:t>
      </w:r>
    </w:p>
    <w:p w14:paraId="47600647" w14:textId="4C3896C0" w:rsidR="00786D83" w:rsidRDefault="00786D83" w:rsidP="002306F7">
      <w:pPr>
        <w:widowControl w:val="0"/>
        <w:autoSpaceDE w:val="0"/>
        <w:autoSpaceDN w:val="0"/>
        <w:adjustRightInd w:val="0"/>
        <w:rPr>
          <w:rFonts w:ascii="Times New Roman" w:hAnsi="Times New Roman" w:cs="Times New Roman"/>
          <w:sz w:val="20"/>
          <w:szCs w:val="20"/>
          <w:u w:color="0000E9"/>
          <w:lang w:eastAsia="zh-CN"/>
        </w:rPr>
      </w:pPr>
      <w:r w:rsidRPr="002306F7">
        <w:rPr>
          <w:rFonts w:ascii="Times New Roman" w:hAnsi="Times New Roman" w:cs="Times New Roman"/>
          <w:sz w:val="20"/>
          <w:szCs w:val="20"/>
          <w:u w:color="0000E9"/>
        </w:rPr>
        <w:t>We are offering to exchange any and all senior notes of the following series issued by Rosetta Resources Inc. (“Rosetta”) validly tendered (and not validly withdrawn) and accepted for exchange by us for senior notes to be issued by us as described in, and for the consideration summarized in, the table below.</w:t>
      </w:r>
    </w:p>
    <w:p w14:paraId="7EA51E9B" w14:textId="77777777" w:rsidR="0081611D" w:rsidRPr="002306F7" w:rsidRDefault="0081611D" w:rsidP="002306F7">
      <w:pPr>
        <w:widowControl w:val="0"/>
        <w:autoSpaceDE w:val="0"/>
        <w:autoSpaceDN w:val="0"/>
        <w:adjustRightInd w:val="0"/>
        <w:rPr>
          <w:rFonts w:ascii="Times" w:hAnsi="Times" w:cs="Times"/>
          <w:sz w:val="32"/>
          <w:szCs w:val="32"/>
          <w:u w:color="0000E9"/>
          <w:lang w:eastAsia="zh-CN"/>
        </w:rPr>
      </w:pPr>
    </w:p>
    <w:p w14:paraId="2D2CF9F0" w14:textId="7AD76D91" w:rsidR="00786D83" w:rsidRDefault="0081611D" w:rsidP="0081611D">
      <w:pPr>
        <w:widowControl w:val="0"/>
        <w:autoSpaceDE w:val="0"/>
        <w:autoSpaceDN w:val="0"/>
        <w:adjustRightInd w:val="0"/>
        <w:ind w:leftChars="-590" w:left="-1416"/>
        <w:rPr>
          <w:rFonts w:ascii="Times" w:hAnsi="Times" w:cs="Times"/>
          <w:sz w:val="32"/>
          <w:szCs w:val="32"/>
          <w:u w:color="0000E9"/>
          <w:lang w:eastAsia="zh-CN"/>
        </w:rPr>
      </w:pPr>
      <w:r>
        <w:rPr>
          <w:rFonts w:ascii="Times" w:hAnsi="Times" w:cs="Times" w:hint="eastAsia"/>
          <w:noProof/>
          <w:sz w:val="32"/>
          <w:szCs w:val="32"/>
          <w:u w:color="0000E9"/>
        </w:rPr>
        <w:drawing>
          <wp:inline distT="0" distB="0" distL="0" distR="0" wp14:anchorId="359344E5" wp14:editId="7C73B490">
            <wp:extent cx="7354379" cy="1867535"/>
            <wp:effectExtent l="0" t="0" r="1206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08.46 PM.png"/>
                    <pic:cNvPicPr/>
                  </pic:nvPicPr>
                  <pic:blipFill>
                    <a:blip r:embed="rId10">
                      <a:extLst>
                        <a:ext uri="{28A0092B-C50C-407E-A947-70E740481C1C}">
                          <a14:useLocalDpi xmlns:a14="http://schemas.microsoft.com/office/drawing/2010/main" val="0"/>
                        </a:ext>
                      </a:extLst>
                    </a:blip>
                    <a:stretch>
                      <a:fillRect/>
                    </a:stretch>
                  </pic:blipFill>
                  <pic:spPr>
                    <a:xfrm>
                      <a:off x="0" y="0"/>
                      <a:ext cx="7358751" cy="1868645"/>
                    </a:xfrm>
                    <a:prstGeom prst="rect">
                      <a:avLst/>
                    </a:prstGeom>
                  </pic:spPr>
                </pic:pic>
              </a:graphicData>
            </a:graphic>
          </wp:inline>
        </w:drawing>
      </w:r>
    </w:p>
    <w:p w14:paraId="0BCBA88A" w14:textId="5121CEEE" w:rsidR="00786D83" w:rsidRDefault="00786D83" w:rsidP="00786D83">
      <w:pPr>
        <w:widowControl w:val="0"/>
        <w:autoSpaceDE w:val="0"/>
        <w:autoSpaceDN w:val="0"/>
        <w:adjustRightInd w:val="0"/>
        <w:rPr>
          <w:rFonts w:ascii="Times" w:hAnsi="Times" w:cs="Times"/>
          <w:sz w:val="16"/>
          <w:szCs w:val="16"/>
          <w:u w:color="0000E9"/>
          <w:lang w:eastAsia="zh-CN"/>
        </w:rPr>
      </w:pPr>
    </w:p>
    <w:p w14:paraId="62EF3C71" w14:textId="04DDEEE1" w:rsidR="00786D83" w:rsidRPr="0081611D" w:rsidRDefault="00786D83" w:rsidP="0081611D">
      <w:pPr>
        <w:widowControl w:val="0"/>
        <w:autoSpaceDE w:val="0"/>
        <w:autoSpaceDN w:val="0"/>
        <w:adjustRightInd w:val="0"/>
        <w:rPr>
          <w:rFonts w:ascii="Times" w:hAnsi="Times" w:cs="Times"/>
          <w:sz w:val="20"/>
          <w:szCs w:val="20"/>
          <w:u w:color="0000E9"/>
        </w:rPr>
      </w:pPr>
      <w:r w:rsidRPr="0081611D">
        <w:rPr>
          <w:rFonts w:ascii="Times New Roman" w:hAnsi="Times New Roman" w:cs="Times New Roman"/>
          <w:b/>
          <w:bCs/>
          <w:sz w:val="20"/>
          <w:szCs w:val="20"/>
          <w:u w:color="0000E9"/>
        </w:rPr>
        <w:t>This investment involves risks. Prior to participating in any of the exchange offers and consenting to the proposed amendments to any of the Rosetta Indentures, please see the section entitled “</w:t>
      </w:r>
      <w:r w:rsidRPr="0081611D">
        <w:rPr>
          <w:rFonts w:ascii="Times New Roman" w:hAnsi="Times New Roman" w:cs="Times New Roman"/>
          <w:b/>
          <w:bCs/>
          <w:color w:val="0000E9"/>
          <w:sz w:val="20"/>
          <w:szCs w:val="20"/>
          <w:u w:val="single" w:color="0000E9"/>
        </w:rPr>
        <w:t>Risk Factors</w:t>
      </w:r>
      <w:r w:rsidRPr="0081611D">
        <w:rPr>
          <w:rFonts w:ascii="Times New Roman" w:hAnsi="Times New Roman" w:cs="Times New Roman"/>
          <w:b/>
          <w:bCs/>
          <w:sz w:val="20"/>
          <w:szCs w:val="20"/>
          <w:u w:color="0000E9"/>
        </w:rPr>
        <w:t>” beginning on page 25 of this prospectus for a discussion of the risks that you should consider in connection with your investment in the Noble Notes.</w:t>
      </w:r>
    </w:p>
    <w:p w14:paraId="669E7A87" w14:textId="68CF7BEF" w:rsidR="00D06F6E" w:rsidRPr="00D06F6E" w:rsidRDefault="00786D83" w:rsidP="00786D83">
      <w:pPr>
        <w:widowControl w:val="0"/>
        <w:autoSpaceDE w:val="0"/>
        <w:autoSpaceDN w:val="0"/>
        <w:adjustRightInd w:val="0"/>
        <w:rPr>
          <w:rFonts w:ascii="Times New Roman" w:hAnsi="Times New Roman" w:cs="Times New Roman"/>
          <w:b/>
          <w:bCs/>
          <w:sz w:val="20"/>
          <w:szCs w:val="20"/>
          <w:u w:color="0000E9"/>
          <w:lang w:eastAsia="zh-CN"/>
        </w:rPr>
      </w:pPr>
      <w:r w:rsidRPr="0081611D">
        <w:rPr>
          <w:rFonts w:ascii="Times New Roman" w:hAnsi="Times New Roman" w:cs="Times New Roman"/>
          <w:b/>
          <w:bCs/>
          <w:sz w:val="20"/>
          <w:szCs w:val="20"/>
          <w:u w:color="0000E9"/>
        </w:rPr>
        <w:t>Neither the Securities and Exchange Commission nor any state securities commission has approved or disapproved of these securities or determined if this prospectus is truthful or complete. Any representation to the contrary is a criminal offense.</w:t>
      </w:r>
    </w:p>
    <w:p w14:paraId="758755D2" w14:textId="77777777" w:rsidR="00786D83" w:rsidRPr="0081611D" w:rsidRDefault="00786D83" w:rsidP="00786D83">
      <w:pPr>
        <w:widowControl w:val="0"/>
        <w:autoSpaceDE w:val="0"/>
        <w:autoSpaceDN w:val="0"/>
        <w:adjustRightInd w:val="0"/>
        <w:rPr>
          <w:rFonts w:ascii="Times New Roman" w:hAnsi="Times New Roman" w:cs="Times New Roman"/>
          <w:sz w:val="18"/>
          <w:szCs w:val="18"/>
          <w:u w:color="0000E9"/>
        </w:rPr>
      </w:pPr>
      <w:r w:rsidRPr="0081611D">
        <w:rPr>
          <w:rFonts w:ascii="Times New Roman" w:hAnsi="Times New Roman" w:cs="Times New Roman"/>
          <w:sz w:val="18"/>
          <w:szCs w:val="18"/>
          <w:u w:color="0000E9"/>
        </w:rPr>
        <w:t>None of Noble, Rosetta, the exchange agent, the information agent, the Rosetta Trustee, the Noble Trustee or the dealer managers makes any recommendation as to whether holders of Rosetta Notes should exchange their notes in any of the exchange offers or deliver consents to the proposed amendments to any of the Rosetta Indentures, and no one has been authorized by any of them to make such a recommendation.</w:t>
      </w:r>
    </w:p>
    <w:p w14:paraId="63F447CE" w14:textId="77777777" w:rsidR="00786D83" w:rsidRPr="0081611D" w:rsidRDefault="00786D83" w:rsidP="00786D83">
      <w:pPr>
        <w:widowControl w:val="0"/>
        <w:autoSpaceDE w:val="0"/>
        <w:autoSpaceDN w:val="0"/>
        <w:adjustRightInd w:val="0"/>
        <w:rPr>
          <w:rFonts w:ascii="Times" w:hAnsi="Times" w:cs="Times"/>
          <w:sz w:val="18"/>
          <w:szCs w:val="18"/>
          <w:u w:color="0000E9"/>
        </w:rPr>
      </w:pPr>
      <w:r w:rsidRPr="0081611D">
        <w:rPr>
          <w:rFonts w:ascii="Times" w:hAnsi="Times" w:cs="Times"/>
          <w:sz w:val="18"/>
          <w:szCs w:val="18"/>
          <w:u w:color="0000E9"/>
        </w:rPr>
        <w:t> </w:t>
      </w:r>
    </w:p>
    <w:p w14:paraId="2D73A70B" w14:textId="77777777" w:rsidR="00786D83" w:rsidRPr="0081611D" w:rsidRDefault="00786D83" w:rsidP="00786D83">
      <w:pPr>
        <w:widowControl w:val="0"/>
        <w:autoSpaceDE w:val="0"/>
        <w:autoSpaceDN w:val="0"/>
        <w:adjustRightInd w:val="0"/>
        <w:jc w:val="center"/>
        <w:rPr>
          <w:rFonts w:ascii="Times" w:hAnsi="Times" w:cs="Times"/>
          <w:sz w:val="18"/>
          <w:szCs w:val="18"/>
          <w:u w:color="0000E9"/>
        </w:rPr>
      </w:pPr>
      <w:r w:rsidRPr="0081611D">
        <w:rPr>
          <w:rFonts w:ascii="Times" w:hAnsi="Times" w:cs="Times"/>
          <w:sz w:val="18"/>
          <w:szCs w:val="18"/>
          <w:u w:color="0000E9"/>
        </w:rPr>
        <w:t> </w:t>
      </w:r>
    </w:p>
    <w:p w14:paraId="48DC187A" w14:textId="77777777" w:rsidR="00786D83" w:rsidRPr="0081611D" w:rsidRDefault="00786D83" w:rsidP="0081611D">
      <w:pPr>
        <w:widowControl w:val="0"/>
        <w:autoSpaceDE w:val="0"/>
        <w:autoSpaceDN w:val="0"/>
        <w:adjustRightInd w:val="0"/>
        <w:jc w:val="center"/>
        <w:rPr>
          <w:rFonts w:ascii="Times New Roman" w:hAnsi="Times New Roman" w:cs="Times New Roman"/>
          <w:sz w:val="18"/>
          <w:szCs w:val="18"/>
          <w:u w:color="0000E9"/>
        </w:rPr>
      </w:pPr>
      <w:r w:rsidRPr="0081611D">
        <w:rPr>
          <w:rFonts w:ascii="Times New Roman" w:hAnsi="Times New Roman" w:cs="Times New Roman"/>
          <w:sz w:val="18"/>
          <w:szCs w:val="18"/>
          <w:u w:color="0000E9"/>
        </w:rPr>
        <w:t>The dealer managers for the exchange offers and solicitation agents for consent solicitations are:</w:t>
      </w:r>
    </w:p>
    <w:p w14:paraId="72B648E6" w14:textId="1928440B" w:rsidR="00786D83" w:rsidRDefault="00786D83" w:rsidP="0081611D">
      <w:pPr>
        <w:widowControl w:val="0"/>
        <w:autoSpaceDE w:val="0"/>
        <w:autoSpaceDN w:val="0"/>
        <w:adjustRightInd w:val="0"/>
        <w:ind w:leftChars="-590" w:left="-1416" w:firstLineChars="886" w:firstLine="1418"/>
        <w:rPr>
          <w:rFonts w:ascii="Times" w:hAnsi="Times" w:cs="Times"/>
          <w:sz w:val="16"/>
          <w:szCs w:val="16"/>
          <w:u w:color="0000E9"/>
          <w:lang w:eastAsia="zh-CN"/>
        </w:rPr>
      </w:pPr>
      <w:r>
        <w:rPr>
          <w:rFonts w:ascii="Times" w:hAnsi="Times" w:cs="Times"/>
          <w:sz w:val="16"/>
          <w:szCs w:val="16"/>
          <w:u w:color="0000E9"/>
        </w:rPr>
        <w:t> </w:t>
      </w:r>
      <w:r w:rsidR="0081611D">
        <w:rPr>
          <w:rFonts w:ascii="Times" w:hAnsi="Times" w:cs="Times" w:hint="eastAsia"/>
          <w:noProof/>
          <w:sz w:val="16"/>
          <w:szCs w:val="16"/>
          <w:u w:color="0000E9"/>
        </w:rPr>
        <w:drawing>
          <wp:inline distT="0" distB="0" distL="0" distR="0" wp14:anchorId="38C71F3B" wp14:editId="2191D028">
            <wp:extent cx="729742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14.06 PM.png"/>
                    <pic:cNvPicPr/>
                  </pic:nvPicPr>
                  <pic:blipFill>
                    <a:blip r:embed="rId11">
                      <a:extLst>
                        <a:ext uri="{28A0092B-C50C-407E-A947-70E740481C1C}">
                          <a14:useLocalDpi xmlns:a14="http://schemas.microsoft.com/office/drawing/2010/main" val="0"/>
                        </a:ext>
                      </a:extLst>
                    </a:blip>
                    <a:stretch>
                      <a:fillRect/>
                    </a:stretch>
                  </pic:blipFill>
                  <pic:spPr>
                    <a:xfrm>
                      <a:off x="0" y="0"/>
                      <a:ext cx="7297420" cy="457200"/>
                    </a:xfrm>
                    <a:prstGeom prst="rect">
                      <a:avLst/>
                    </a:prstGeom>
                  </pic:spPr>
                </pic:pic>
              </a:graphicData>
            </a:graphic>
          </wp:inline>
        </w:drawing>
      </w:r>
    </w:p>
    <w:p w14:paraId="71EB65E5" w14:textId="01515D9D" w:rsidR="0081611D" w:rsidRPr="0081611D" w:rsidRDefault="0081611D" w:rsidP="0081611D">
      <w:pPr>
        <w:widowControl w:val="0"/>
        <w:autoSpaceDE w:val="0"/>
        <w:autoSpaceDN w:val="0"/>
        <w:adjustRightInd w:val="0"/>
        <w:ind w:leftChars="-590" w:left="-1416" w:firstLineChars="590" w:firstLine="1416"/>
        <w:rPr>
          <w:rFonts w:ascii="Times" w:hAnsi="Times" w:cs="Times"/>
          <w:u w:color="0000E9"/>
          <w:lang w:eastAsia="zh-CN"/>
        </w:rPr>
      </w:pPr>
      <w:r w:rsidRPr="0081611D">
        <w:rPr>
          <w:rFonts w:ascii="Times" w:hAnsi="Times" w:cs="Times" w:hint="eastAsia"/>
          <w:u w:color="0000E9"/>
          <w:lang w:eastAsia="zh-CN"/>
        </w:rPr>
        <w:lastRenderedPageBreak/>
        <w:t>Appendix B: Yield to Maturity</w:t>
      </w:r>
    </w:p>
    <w:p w14:paraId="1B28A512" w14:textId="73520F8E" w:rsidR="00974B43" w:rsidRDefault="00974B43" w:rsidP="0081611D">
      <w:pPr>
        <w:widowControl w:val="0"/>
        <w:autoSpaceDE w:val="0"/>
        <w:autoSpaceDN w:val="0"/>
        <w:adjustRightInd w:val="0"/>
        <w:ind w:leftChars="-590" w:left="-1416" w:firstLineChars="886" w:firstLine="1418"/>
        <w:rPr>
          <w:rFonts w:ascii="Times" w:hAnsi="Times" w:cs="Times"/>
          <w:sz w:val="16"/>
          <w:szCs w:val="16"/>
          <w:u w:color="0000E9"/>
          <w:lang w:eastAsia="zh-CN"/>
        </w:rPr>
      </w:pPr>
      <w:r>
        <w:rPr>
          <w:rFonts w:ascii="Times" w:hAnsi="Times" w:cs="Times" w:hint="eastAsia"/>
          <w:noProof/>
          <w:sz w:val="16"/>
          <w:szCs w:val="16"/>
          <w:u w:color="0000E9"/>
        </w:rPr>
        <w:drawing>
          <wp:anchor distT="0" distB="0" distL="114300" distR="114300" simplePos="0" relativeHeight="251662336" behindDoc="0" locked="0" layoutInCell="1" allowOverlap="1" wp14:anchorId="787D8F3D" wp14:editId="59F30FEB">
            <wp:simplePos x="0" y="0"/>
            <wp:positionH relativeFrom="margin">
              <wp:align>center</wp:align>
            </wp:positionH>
            <wp:positionV relativeFrom="margin">
              <wp:align>center</wp:align>
            </wp:positionV>
            <wp:extent cx="7035800" cy="69615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18.26 PM.png"/>
                    <pic:cNvPicPr/>
                  </pic:nvPicPr>
                  <pic:blipFill>
                    <a:blip r:embed="rId12">
                      <a:extLst>
                        <a:ext uri="{28A0092B-C50C-407E-A947-70E740481C1C}">
                          <a14:useLocalDpi xmlns:a14="http://schemas.microsoft.com/office/drawing/2010/main" val="0"/>
                        </a:ext>
                      </a:extLst>
                    </a:blip>
                    <a:stretch>
                      <a:fillRect/>
                    </a:stretch>
                  </pic:blipFill>
                  <pic:spPr>
                    <a:xfrm>
                      <a:off x="0" y="0"/>
                      <a:ext cx="7035800" cy="6961505"/>
                    </a:xfrm>
                    <a:prstGeom prst="rect">
                      <a:avLst/>
                    </a:prstGeom>
                  </pic:spPr>
                </pic:pic>
              </a:graphicData>
            </a:graphic>
            <wp14:sizeRelH relativeFrom="margin">
              <wp14:pctWidth>0</wp14:pctWidth>
            </wp14:sizeRelH>
            <wp14:sizeRelV relativeFrom="margin">
              <wp14:pctHeight>0</wp14:pctHeight>
            </wp14:sizeRelV>
          </wp:anchor>
        </w:drawing>
      </w:r>
    </w:p>
    <w:p w14:paraId="2E2BA91B" w14:textId="77777777" w:rsidR="00974B43" w:rsidRDefault="00974B43">
      <w:pPr>
        <w:rPr>
          <w:rFonts w:ascii="Times" w:hAnsi="Times" w:cs="Times"/>
          <w:sz w:val="16"/>
          <w:szCs w:val="16"/>
          <w:u w:color="0000E9"/>
          <w:lang w:eastAsia="zh-CN"/>
        </w:rPr>
      </w:pPr>
      <w:r>
        <w:rPr>
          <w:rFonts w:ascii="Times" w:hAnsi="Times" w:cs="Times"/>
          <w:sz w:val="16"/>
          <w:szCs w:val="16"/>
          <w:u w:color="0000E9"/>
          <w:lang w:eastAsia="zh-CN"/>
        </w:rPr>
        <w:br w:type="page"/>
      </w:r>
    </w:p>
    <w:p w14:paraId="37602B96" w14:textId="29CF0C27" w:rsidR="00974B43" w:rsidRPr="0081611D" w:rsidRDefault="00974B43" w:rsidP="00974B43">
      <w:pPr>
        <w:widowControl w:val="0"/>
        <w:autoSpaceDE w:val="0"/>
        <w:autoSpaceDN w:val="0"/>
        <w:adjustRightInd w:val="0"/>
        <w:ind w:leftChars="-590" w:left="-1416" w:firstLineChars="590" w:firstLine="1416"/>
        <w:rPr>
          <w:rFonts w:ascii="Times" w:hAnsi="Times" w:cs="Times"/>
          <w:u w:color="0000E9"/>
          <w:lang w:eastAsia="zh-CN"/>
        </w:rPr>
      </w:pPr>
      <w:r>
        <w:rPr>
          <w:rFonts w:ascii="Times" w:hAnsi="Times" w:cs="Times" w:hint="eastAsia"/>
          <w:u w:color="0000E9"/>
          <w:lang w:eastAsia="zh-CN"/>
        </w:rPr>
        <w:lastRenderedPageBreak/>
        <w:t>Appendix C</w:t>
      </w:r>
      <w:r w:rsidRPr="0081611D">
        <w:rPr>
          <w:rFonts w:ascii="Times" w:hAnsi="Times" w:cs="Times" w:hint="eastAsia"/>
          <w:u w:color="0000E9"/>
          <w:lang w:eastAsia="zh-CN"/>
        </w:rPr>
        <w:t xml:space="preserve">: Yield to </w:t>
      </w:r>
      <w:r>
        <w:rPr>
          <w:rFonts w:ascii="Times" w:hAnsi="Times" w:cs="Times"/>
          <w:u w:color="0000E9"/>
          <w:lang w:eastAsia="zh-CN"/>
        </w:rPr>
        <w:t>Call</w:t>
      </w:r>
    </w:p>
    <w:p w14:paraId="27E56D97" w14:textId="16DDDAE8" w:rsidR="00974B43" w:rsidRDefault="00A43BF0">
      <w:pPr>
        <w:rPr>
          <w:rFonts w:ascii="Times" w:hAnsi="Times" w:cs="Times"/>
          <w:sz w:val="16"/>
          <w:szCs w:val="16"/>
          <w:u w:color="0000E9"/>
          <w:lang w:eastAsia="zh-CN"/>
        </w:rPr>
      </w:pPr>
      <w:r>
        <w:rPr>
          <w:rFonts w:ascii="Times" w:hAnsi="Times" w:cs="Times" w:hint="eastAsia"/>
          <w:noProof/>
          <w:sz w:val="16"/>
          <w:szCs w:val="16"/>
          <w:u w:color="0000E9"/>
        </w:rPr>
        <w:drawing>
          <wp:anchor distT="0" distB="0" distL="114300" distR="114300" simplePos="0" relativeHeight="251664384" behindDoc="0" locked="0" layoutInCell="1" allowOverlap="1" wp14:anchorId="4719006E" wp14:editId="23405E28">
            <wp:simplePos x="0" y="0"/>
            <wp:positionH relativeFrom="margin">
              <wp:posOffset>-685800</wp:posOffset>
            </wp:positionH>
            <wp:positionV relativeFrom="margin">
              <wp:posOffset>939800</wp:posOffset>
            </wp:positionV>
            <wp:extent cx="6972300" cy="6261100"/>
            <wp:effectExtent l="0" t="0" r="1270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22.47 PM.png"/>
                    <pic:cNvPicPr/>
                  </pic:nvPicPr>
                  <pic:blipFill>
                    <a:blip r:embed="rId13">
                      <a:extLst>
                        <a:ext uri="{28A0092B-C50C-407E-A947-70E740481C1C}">
                          <a14:useLocalDpi xmlns:a14="http://schemas.microsoft.com/office/drawing/2010/main" val="0"/>
                        </a:ext>
                      </a:extLst>
                    </a:blip>
                    <a:stretch>
                      <a:fillRect/>
                    </a:stretch>
                  </pic:blipFill>
                  <pic:spPr>
                    <a:xfrm>
                      <a:off x="0" y="0"/>
                      <a:ext cx="6972300" cy="6261100"/>
                    </a:xfrm>
                    <a:prstGeom prst="rect">
                      <a:avLst/>
                    </a:prstGeom>
                  </pic:spPr>
                </pic:pic>
              </a:graphicData>
            </a:graphic>
            <wp14:sizeRelH relativeFrom="margin">
              <wp14:pctWidth>0</wp14:pctWidth>
            </wp14:sizeRelH>
            <wp14:sizeRelV relativeFrom="margin">
              <wp14:pctHeight>0</wp14:pctHeight>
            </wp14:sizeRelV>
          </wp:anchor>
        </w:drawing>
      </w:r>
      <w:r w:rsidR="00974B43">
        <w:rPr>
          <w:rFonts w:ascii="Times" w:hAnsi="Times" w:cs="Times"/>
          <w:sz w:val="16"/>
          <w:szCs w:val="16"/>
          <w:u w:color="0000E9"/>
          <w:lang w:eastAsia="zh-CN"/>
        </w:rPr>
        <w:br w:type="page"/>
      </w:r>
    </w:p>
    <w:p w14:paraId="17C11B4E" w14:textId="0CD48F29" w:rsidR="00974B43" w:rsidRPr="00A43BF0" w:rsidRDefault="00A43BF0">
      <w:pPr>
        <w:rPr>
          <w:rFonts w:ascii="Times New Roman" w:hAnsi="Times New Roman" w:cs="Times New Roman"/>
          <w:u w:color="0000E9"/>
          <w:lang w:eastAsia="zh-CN"/>
        </w:rPr>
      </w:pPr>
      <w:r>
        <w:rPr>
          <w:rFonts w:ascii="Times New Roman" w:hAnsi="Times New Roman" w:cs="Times New Roman"/>
          <w:u w:color="0000E9"/>
          <w:lang w:eastAsia="zh-CN"/>
        </w:rPr>
        <w:lastRenderedPageBreak/>
        <w:t>Appendix D</w:t>
      </w:r>
      <w:r w:rsidR="00974B43" w:rsidRPr="00A43BF0">
        <w:rPr>
          <w:rFonts w:ascii="Times New Roman" w:hAnsi="Times New Roman" w:cs="Times New Roman"/>
          <w:u w:color="0000E9"/>
          <w:lang w:eastAsia="zh-CN"/>
        </w:rPr>
        <w:t>: Call Schedule</w:t>
      </w:r>
    </w:p>
    <w:p w14:paraId="3AEB94FC" w14:textId="09ECBB44" w:rsidR="00A43BF0" w:rsidRDefault="00A43BF0">
      <w:pPr>
        <w:rPr>
          <w:rFonts w:ascii="Times" w:hAnsi="Times" w:cs="Times"/>
          <w:sz w:val="16"/>
          <w:szCs w:val="16"/>
          <w:u w:color="0000E9"/>
          <w:lang w:eastAsia="zh-CN"/>
        </w:rPr>
      </w:pPr>
    </w:p>
    <w:p w14:paraId="2685BA8A" w14:textId="59D8E529" w:rsidR="00974B43" w:rsidRDefault="00A43BF0">
      <w:pPr>
        <w:rPr>
          <w:rFonts w:ascii="Times" w:hAnsi="Times" w:cs="Times"/>
          <w:sz w:val="16"/>
          <w:szCs w:val="16"/>
          <w:u w:color="0000E9"/>
          <w:lang w:eastAsia="zh-CN"/>
        </w:rPr>
      </w:pPr>
      <w:r>
        <w:rPr>
          <w:rFonts w:ascii="Times" w:hAnsi="Times" w:cs="Times" w:hint="eastAsia"/>
          <w:noProof/>
          <w:sz w:val="16"/>
          <w:szCs w:val="16"/>
          <w:u w:color="0000E9"/>
        </w:rPr>
        <w:drawing>
          <wp:anchor distT="0" distB="0" distL="114300" distR="114300" simplePos="0" relativeHeight="251665408" behindDoc="0" locked="0" layoutInCell="1" allowOverlap="1" wp14:anchorId="79ECB203" wp14:editId="4F9B1E7E">
            <wp:simplePos x="0" y="0"/>
            <wp:positionH relativeFrom="margin">
              <wp:align>center</wp:align>
            </wp:positionH>
            <wp:positionV relativeFrom="margin">
              <wp:align>center</wp:align>
            </wp:positionV>
            <wp:extent cx="6858000" cy="5842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30.23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842000"/>
                    </a:xfrm>
                    <a:prstGeom prst="rect">
                      <a:avLst/>
                    </a:prstGeom>
                  </pic:spPr>
                </pic:pic>
              </a:graphicData>
            </a:graphic>
            <wp14:sizeRelH relativeFrom="margin">
              <wp14:pctWidth>0</wp14:pctWidth>
            </wp14:sizeRelH>
            <wp14:sizeRelV relativeFrom="margin">
              <wp14:pctHeight>0</wp14:pctHeight>
            </wp14:sizeRelV>
          </wp:anchor>
        </w:drawing>
      </w:r>
      <w:r w:rsidR="00974B43">
        <w:rPr>
          <w:rFonts w:ascii="Times" w:hAnsi="Times" w:cs="Times"/>
          <w:sz w:val="16"/>
          <w:szCs w:val="16"/>
          <w:u w:color="0000E9"/>
          <w:lang w:eastAsia="zh-CN"/>
        </w:rPr>
        <w:br w:type="page"/>
      </w:r>
    </w:p>
    <w:p w14:paraId="618E371E" w14:textId="0CD23484" w:rsidR="00974B43" w:rsidRDefault="00A43BF0">
      <w:pPr>
        <w:rPr>
          <w:rFonts w:ascii="Times New Roman" w:hAnsi="Times New Roman" w:cs="Times New Roman"/>
          <w:u w:color="0000E9"/>
          <w:lang w:eastAsia="zh-CN"/>
        </w:rPr>
      </w:pPr>
      <w:r w:rsidRPr="00A43BF0">
        <w:rPr>
          <w:rFonts w:ascii="Times New Roman" w:hAnsi="Times New Roman" w:cs="Times New Roman"/>
          <w:u w:color="0000E9"/>
          <w:lang w:eastAsia="zh-CN"/>
        </w:rPr>
        <w:lastRenderedPageBreak/>
        <w:t>Appendix E: Price Yield Curve</w:t>
      </w:r>
    </w:p>
    <w:p w14:paraId="773562A6" w14:textId="128FE5F3" w:rsidR="00A43BF0" w:rsidRPr="00A43BF0" w:rsidRDefault="00A43BF0">
      <w:pPr>
        <w:rPr>
          <w:rFonts w:ascii="Times New Roman" w:hAnsi="Times New Roman" w:cs="Times New Roman"/>
          <w:u w:color="0000E9"/>
          <w:lang w:eastAsia="zh-CN"/>
        </w:rPr>
      </w:pPr>
    </w:p>
    <w:p w14:paraId="5677F13F" w14:textId="35754E9B" w:rsidR="0081611D" w:rsidRPr="0081611D" w:rsidRDefault="00A43BF0" w:rsidP="00A43BF0">
      <w:pPr>
        <w:widowControl w:val="0"/>
        <w:autoSpaceDE w:val="0"/>
        <w:autoSpaceDN w:val="0"/>
        <w:adjustRightInd w:val="0"/>
        <w:ind w:leftChars="-590" w:left="-1416" w:firstLineChars="886" w:firstLine="2126"/>
        <w:rPr>
          <w:rFonts w:ascii="Times" w:hAnsi="Times" w:cs="Times"/>
          <w:sz w:val="16"/>
          <w:szCs w:val="16"/>
          <w:u w:color="0000E9"/>
          <w:lang w:eastAsia="zh-CN"/>
        </w:rPr>
      </w:pPr>
      <w:r>
        <w:rPr>
          <w:rFonts w:ascii="Times New Roman" w:hAnsi="Times New Roman" w:cs="Times New Roman" w:hint="eastAsia"/>
          <w:noProof/>
          <w:u w:color="0000E9"/>
        </w:rPr>
        <w:drawing>
          <wp:anchor distT="0" distB="0" distL="114300" distR="114300" simplePos="0" relativeHeight="251666432" behindDoc="0" locked="0" layoutInCell="1" allowOverlap="1" wp14:anchorId="52D201C5" wp14:editId="50CE981A">
            <wp:simplePos x="0" y="0"/>
            <wp:positionH relativeFrom="margin">
              <wp:align>center</wp:align>
            </wp:positionH>
            <wp:positionV relativeFrom="margin">
              <wp:align>center</wp:align>
            </wp:positionV>
            <wp:extent cx="7391400" cy="5359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11.32.52 PM.png"/>
                    <pic:cNvPicPr/>
                  </pic:nvPicPr>
                  <pic:blipFill>
                    <a:blip r:embed="rId15">
                      <a:extLst>
                        <a:ext uri="{28A0092B-C50C-407E-A947-70E740481C1C}">
                          <a14:useLocalDpi xmlns:a14="http://schemas.microsoft.com/office/drawing/2010/main" val="0"/>
                        </a:ext>
                      </a:extLst>
                    </a:blip>
                    <a:stretch>
                      <a:fillRect/>
                    </a:stretch>
                  </pic:blipFill>
                  <pic:spPr>
                    <a:xfrm>
                      <a:off x="0" y="0"/>
                      <a:ext cx="7391400" cy="5359400"/>
                    </a:xfrm>
                    <a:prstGeom prst="rect">
                      <a:avLst/>
                    </a:prstGeom>
                  </pic:spPr>
                </pic:pic>
              </a:graphicData>
            </a:graphic>
            <wp14:sizeRelH relativeFrom="margin">
              <wp14:pctWidth>0</wp14:pctWidth>
            </wp14:sizeRelH>
            <wp14:sizeRelV relativeFrom="margin">
              <wp14:pctHeight>0</wp14:pctHeight>
            </wp14:sizeRelV>
          </wp:anchor>
        </w:drawing>
      </w:r>
    </w:p>
    <w:sectPr w:rsidR="0081611D" w:rsidRPr="0081611D" w:rsidSect="004A67C9">
      <w:headerReference w:type="default" r:id="rId16"/>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3213C" w14:textId="77777777" w:rsidR="00493E71" w:rsidRDefault="00493E71" w:rsidP="001E5E2C">
      <w:r>
        <w:separator/>
      </w:r>
    </w:p>
  </w:endnote>
  <w:endnote w:type="continuationSeparator" w:id="0">
    <w:p w14:paraId="06CADA2B" w14:textId="77777777" w:rsidR="00493E71" w:rsidRDefault="00493E71" w:rsidP="001E5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OpenSans-Semi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FF068" w14:textId="77777777" w:rsidR="00493E71" w:rsidRDefault="00493E71" w:rsidP="00493E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54C32A" w14:textId="77777777" w:rsidR="00493E71" w:rsidRDefault="00493E71" w:rsidP="00493E7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AD075" w14:textId="77777777" w:rsidR="00493E71" w:rsidRDefault="00493E71" w:rsidP="00493E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6D6B">
      <w:rPr>
        <w:rStyle w:val="PageNumber"/>
        <w:noProof/>
      </w:rPr>
      <w:t>1</w:t>
    </w:r>
    <w:r>
      <w:rPr>
        <w:rStyle w:val="PageNumber"/>
      </w:rPr>
      <w:fldChar w:fldCharType="end"/>
    </w:r>
  </w:p>
  <w:p w14:paraId="25FE6A90" w14:textId="77777777" w:rsidR="00493E71" w:rsidRDefault="00493E71" w:rsidP="00493E7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02A33" w14:textId="77777777" w:rsidR="00493E71" w:rsidRDefault="00493E71" w:rsidP="001E5E2C">
      <w:r>
        <w:separator/>
      </w:r>
    </w:p>
  </w:footnote>
  <w:footnote w:type="continuationSeparator" w:id="0">
    <w:p w14:paraId="4BA10403" w14:textId="77777777" w:rsidR="00493E71" w:rsidRDefault="00493E71" w:rsidP="001E5E2C">
      <w:r>
        <w:continuationSeparator/>
      </w:r>
    </w:p>
  </w:footnote>
  <w:footnote w:id="1">
    <w:p w14:paraId="20DCD8A3" w14:textId="77777777" w:rsidR="00493E71" w:rsidRPr="00D06F6E" w:rsidRDefault="00493E71" w:rsidP="00D06F6E">
      <w:pPr>
        <w:pStyle w:val="FootnoteText"/>
        <w:rPr>
          <w:rFonts w:ascii="Times New Roman" w:eastAsiaTheme="minorEastAsia" w:hAnsi="Times New Roman" w:cs="Times New Roman"/>
          <w:sz w:val="18"/>
          <w:szCs w:val="18"/>
          <w:lang w:eastAsia="zh-CN"/>
        </w:rPr>
      </w:pPr>
      <w:r w:rsidRPr="00D06F6E">
        <w:rPr>
          <w:rStyle w:val="FootnoteReference"/>
          <w:sz w:val="18"/>
          <w:szCs w:val="18"/>
        </w:rPr>
        <w:footnoteRef/>
      </w:r>
      <w:r w:rsidRPr="00D06F6E">
        <w:rPr>
          <w:sz w:val="18"/>
          <w:szCs w:val="18"/>
        </w:rPr>
        <w:t xml:space="preserve"> </w:t>
      </w:r>
      <w:r w:rsidRPr="00D06F6E">
        <w:rPr>
          <w:rFonts w:ascii="Times New Roman" w:eastAsiaTheme="minorEastAsia" w:hAnsi="Times New Roman" w:cs="Times New Roman"/>
          <w:sz w:val="18"/>
          <w:szCs w:val="18"/>
          <w:lang w:eastAsia="zh-CN"/>
        </w:rPr>
        <w:t>Noble Energy Inc., “Our Value”</w:t>
      </w:r>
      <w:r w:rsidRPr="00D06F6E">
        <w:rPr>
          <w:rFonts w:ascii="Times New Roman" w:eastAsiaTheme="minorEastAsia" w:hAnsi="Times New Roman" w:cs="Times New Roman" w:hint="eastAsia"/>
          <w:sz w:val="18"/>
          <w:szCs w:val="18"/>
          <w:lang w:eastAsia="zh-CN"/>
        </w:rPr>
        <w:t>,</w:t>
      </w:r>
      <w:r w:rsidRPr="00D06F6E">
        <w:rPr>
          <w:rFonts w:ascii="Times New Roman" w:eastAsiaTheme="minorEastAsia" w:hAnsi="Times New Roman" w:cs="Times New Roman"/>
          <w:sz w:val="18"/>
          <w:szCs w:val="18"/>
          <w:lang w:eastAsia="zh-CN"/>
        </w:rPr>
        <w:t xml:space="preserve"> Assessed Nov 8</w:t>
      </w:r>
      <w:r w:rsidRPr="00D06F6E">
        <w:rPr>
          <w:rFonts w:ascii="Times New Roman" w:eastAsiaTheme="minorEastAsia" w:hAnsi="Times New Roman" w:cs="Times New Roman"/>
          <w:sz w:val="18"/>
          <w:szCs w:val="18"/>
          <w:vertAlign w:val="superscript"/>
          <w:lang w:eastAsia="zh-CN"/>
        </w:rPr>
        <w:t>th</w:t>
      </w:r>
      <w:r w:rsidRPr="00D06F6E">
        <w:rPr>
          <w:rFonts w:ascii="Times New Roman" w:eastAsiaTheme="minorEastAsia" w:hAnsi="Times New Roman" w:cs="Times New Roman"/>
          <w:sz w:val="18"/>
          <w:szCs w:val="18"/>
          <w:lang w:eastAsia="zh-CN"/>
        </w:rPr>
        <w:t>, 2016.</w:t>
      </w:r>
    </w:p>
    <w:p w14:paraId="536F9E02" w14:textId="77777777" w:rsidR="00493E71" w:rsidRPr="00D06F6E" w:rsidRDefault="00346D6B" w:rsidP="00D06F6E">
      <w:pPr>
        <w:pStyle w:val="FootnoteText"/>
        <w:ind w:firstLine="720"/>
        <w:rPr>
          <w:rFonts w:ascii="Times New Roman" w:eastAsiaTheme="minorEastAsia" w:hAnsi="Times New Roman" w:cs="Times New Roman"/>
          <w:sz w:val="18"/>
          <w:szCs w:val="18"/>
          <w:lang w:eastAsia="zh-CN"/>
        </w:rPr>
      </w:pPr>
      <w:hyperlink r:id="rId1" w:history="1">
        <w:r w:rsidR="00493E71" w:rsidRPr="00D06F6E">
          <w:rPr>
            <w:rStyle w:val="Hyperlink"/>
            <w:rFonts w:ascii="Times New Roman" w:eastAsiaTheme="minorEastAsia" w:hAnsi="Times New Roman" w:cs="Times New Roman"/>
            <w:sz w:val="18"/>
            <w:szCs w:val="18"/>
            <w:lang w:eastAsia="zh-CN"/>
          </w:rPr>
          <w:t>http://www.nobleenergyinc.com/about-us/our-value-50.html</w:t>
        </w:r>
      </w:hyperlink>
    </w:p>
  </w:footnote>
  <w:footnote w:id="2">
    <w:p w14:paraId="7C0DA6CA"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w:t>
      </w:r>
      <w:r w:rsidRPr="00D06F6E">
        <w:rPr>
          <w:rFonts w:ascii="Times New Roman" w:eastAsiaTheme="minorEastAsia" w:hAnsi="Times New Roman" w:cs="Times New Roman"/>
          <w:sz w:val="18"/>
          <w:szCs w:val="18"/>
          <w:lang w:eastAsia="zh-CN"/>
        </w:rPr>
        <w:t xml:space="preserve">Mergent Online, Noble Energy Inc., Assessed Nov 8th, 2016. </w:t>
      </w:r>
      <w:hyperlink r:id="rId2" w:history="1">
        <w:r w:rsidRPr="00D06F6E">
          <w:rPr>
            <w:rStyle w:val="Hyperlink"/>
            <w:rFonts w:ascii="Times New Roman" w:eastAsiaTheme="minorEastAsia" w:hAnsi="Times New Roman" w:cs="Times New Roman"/>
            <w:sz w:val="18"/>
            <w:szCs w:val="18"/>
            <w:lang w:eastAsia="zh-CN"/>
          </w:rPr>
          <w:t>http://www.mergentonline.com.proxy2.library.illinois.edu/companyfinancials.php?pagetype=ratios&amp;compnumber=6052</w:t>
        </w:r>
      </w:hyperlink>
    </w:p>
  </w:footnote>
  <w:footnote w:id="3">
    <w:p w14:paraId="32C47B16"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Noble Energy. “Our Value.” Accessed November 8, 2016</w:t>
      </w:r>
    </w:p>
    <w:p w14:paraId="36B2BD74" w14:textId="77777777" w:rsidR="00493E71" w:rsidRPr="00D06F6E" w:rsidRDefault="00346D6B" w:rsidP="00D06F6E">
      <w:pPr>
        <w:pStyle w:val="FootnoteText"/>
        <w:ind w:leftChars="200" w:left="480"/>
        <w:rPr>
          <w:sz w:val="18"/>
          <w:szCs w:val="18"/>
        </w:rPr>
      </w:pPr>
      <w:hyperlink r:id="rId3" w:history="1">
        <w:r w:rsidR="00493E71" w:rsidRPr="00D06F6E">
          <w:rPr>
            <w:rStyle w:val="Hyperlink"/>
            <w:sz w:val="18"/>
            <w:szCs w:val="18"/>
          </w:rPr>
          <w:t>http://www.nobleenergyinc.com/fw/main/Our-Value-50.html</w:t>
        </w:r>
      </w:hyperlink>
      <w:r w:rsidR="00493E71" w:rsidRPr="00D06F6E">
        <w:rPr>
          <w:sz w:val="18"/>
          <w:szCs w:val="18"/>
        </w:rPr>
        <w:t xml:space="preserve"> </w:t>
      </w:r>
    </w:p>
  </w:footnote>
  <w:footnote w:id="4">
    <w:p w14:paraId="021AE968"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Noble Energy. “Our Mission.” Accessed November 8, 2016</w:t>
      </w:r>
    </w:p>
    <w:p w14:paraId="5D78DB39" w14:textId="77777777" w:rsidR="00493E71" w:rsidRPr="00D06F6E" w:rsidRDefault="00346D6B" w:rsidP="00D06F6E">
      <w:pPr>
        <w:pStyle w:val="FootnoteText"/>
        <w:ind w:leftChars="200" w:left="480"/>
        <w:rPr>
          <w:sz w:val="18"/>
          <w:szCs w:val="18"/>
        </w:rPr>
      </w:pPr>
      <w:hyperlink r:id="rId4" w:history="1">
        <w:r w:rsidR="00493E71" w:rsidRPr="00D06F6E">
          <w:rPr>
            <w:rStyle w:val="Hyperlink"/>
            <w:sz w:val="18"/>
            <w:szCs w:val="18"/>
          </w:rPr>
          <w:t>http://www.nobleenergyinc.com/about-us/our-mission-68.html</w:t>
        </w:r>
      </w:hyperlink>
      <w:r w:rsidR="00493E71" w:rsidRPr="00D06F6E">
        <w:rPr>
          <w:sz w:val="18"/>
          <w:szCs w:val="18"/>
        </w:rPr>
        <w:t xml:space="preserve"> </w:t>
      </w:r>
    </w:p>
  </w:footnote>
  <w:footnote w:id="5">
    <w:p w14:paraId="007F0C81"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Noble Energy. “Performance Data.” Accessed November 8, 2016</w:t>
      </w:r>
    </w:p>
    <w:p w14:paraId="250F5F78" w14:textId="77777777" w:rsidR="00493E71" w:rsidRPr="00D06F6E" w:rsidRDefault="00346D6B" w:rsidP="00D06F6E">
      <w:pPr>
        <w:pStyle w:val="FootnoteText"/>
        <w:ind w:leftChars="200" w:left="480"/>
        <w:rPr>
          <w:sz w:val="18"/>
          <w:szCs w:val="18"/>
        </w:rPr>
      </w:pPr>
      <w:hyperlink r:id="rId5" w:history="1">
        <w:r w:rsidR="00493E71" w:rsidRPr="00D06F6E">
          <w:rPr>
            <w:rStyle w:val="Hyperlink"/>
            <w:sz w:val="18"/>
            <w:szCs w:val="18"/>
          </w:rPr>
          <w:t>http://responsibility.nobleenergyinc.com/performance-data/</w:t>
        </w:r>
      </w:hyperlink>
      <w:r w:rsidR="00493E71" w:rsidRPr="00D06F6E">
        <w:rPr>
          <w:sz w:val="18"/>
          <w:szCs w:val="18"/>
        </w:rPr>
        <w:t xml:space="preserve"> </w:t>
      </w:r>
    </w:p>
  </w:footnote>
  <w:footnote w:id="6">
    <w:p w14:paraId="59CE57AF"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“NBL</w:t>
      </w:r>
      <w:r w:rsidRPr="00D06F6E">
        <w:rPr>
          <w:rFonts w:hint="eastAsia"/>
          <w:sz w:val="18"/>
          <w:szCs w:val="18"/>
        </w:rPr>
        <w:t>.</w:t>
      </w:r>
      <w:r w:rsidRPr="00D06F6E">
        <w:rPr>
          <w:sz w:val="18"/>
          <w:szCs w:val="18"/>
        </w:rPr>
        <w:t>” Accessed November 8, 2016</w:t>
      </w:r>
    </w:p>
    <w:p w14:paraId="5C06B8CA" w14:textId="77777777" w:rsidR="00493E71" w:rsidRPr="00D06F6E" w:rsidRDefault="00346D6B" w:rsidP="00D06F6E">
      <w:pPr>
        <w:pStyle w:val="FootnoteText"/>
        <w:ind w:leftChars="200" w:left="480"/>
        <w:rPr>
          <w:sz w:val="18"/>
          <w:szCs w:val="18"/>
        </w:rPr>
      </w:pPr>
      <w:hyperlink r:id="rId6" w:history="1">
        <w:r w:rsidR="00493E71" w:rsidRPr="00D06F6E">
          <w:rPr>
            <w:rStyle w:val="Hyperlink"/>
            <w:sz w:val="18"/>
            <w:szCs w:val="18"/>
          </w:rPr>
          <w:t>http://finance.yahoo.com/quote/NBL/financials?p=NBL</w:t>
        </w:r>
      </w:hyperlink>
      <w:r w:rsidR="00493E71" w:rsidRPr="00D06F6E">
        <w:rPr>
          <w:sz w:val="18"/>
          <w:szCs w:val="18"/>
        </w:rPr>
        <w:t xml:space="preserve"> </w:t>
      </w:r>
    </w:p>
  </w:footnote>
  <w:footnote w:id="7">
    <w:p w14:paraId="08EC083C"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“NBL</w:t>
      </w:r>
      <w:r w:rsidRPr="00D06F6E">
        <w:rPr>
          <w:rFonts w:hint="eastAsia"/>
          <w:sz w:val="18"/>
          <w:szCs w:val="18"/>
        </w:rPr>
        <w:t>.</w:t>
      </w:r>
      <w:r w:rsidRPr="00D06F6E">
        <w:rPr>
          <w:sz w:val="18"/>
          <w:szCs w:val="18"/>
        </w:rPr>
        <w:t xml:space="preserve">” Accessed November 8, 2016 </w:t>
      </w:r>
    </w:p>
    <w:p w14:paraId="62049A05" w14:textId="77777777" w:rsidR="00493E71" w:rsidRPr="00D06F6E" w:rsidRDefault="00346D6B" w:rsidP="00D06F6E">
      <w:pPr>
        <w:pStyle w:val="FootnoteText"/>
        <w:ind w:leftChars="200" w:left="480"/>
        <w:rPr>
          <w:sz w:val="18"/>
          <w:szCs w:val="18"/>
        </w:rPr>
      </w:pPr>
      <w:hyperlink r:id="rId7" w:history="1">
        <w:r w:rsidR="00493E71" w:rsidRPr="00D06F6E">
          <w:rPr>
            <w:rStyle w:val="Hyperlink"/>
            <w:sz w:val="18"/>
            <w:szCs w:val="18"/>
          </w:rPr>
          <w:t>http://finance.yahoo.com/quote/NBL/financials?p=NBL</w:t>
        </w:r>
      </w:hyperlink>
      <w:r w:rsidR="00493E71" w:rsidRPr="00D06F6E">
        <w:rPr>
          <w:sz w:val="18"/>
          <w:szCs w:val="18"/>
        </w:rPr>
        <w:t xml:space="preserve">  </w:t>
      </w:r>
    </w:p>
  </w:footnote>
  <w:footnote w:id="8">
    <w:p w14:paraId="6595A2CE"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“NBL</w:t>
      </w:r>
      <w:r w:rsidRPr="00D06F6E">
        <w:rPr>
          <w:rFonts w:hint="eastAsia"/>
          <w:sz w:val="18"/>
          <w:szCs w:val="18"/>
        </w:rPr>
        <w:t>.</w:t>
      </w:r>
      <w:r w:rsidRPr="00D06F6E">
        <w:rPr>
          <w:sz w:val="18"/>
          <w:szCs w:val="18"/>
        </w:rPr>
        <w:t xml:space="preserve">” Accessed November 8, 2016 </w:t>
      </w:r>
    </w:p>
    <w:p w14:paraId="3893B5BE" w14:textId="77777777" w:rsidR="00493E71" w:rsidRPr="00D06F6E" w:rsidRDefault="00346D6B" w:rsidP="00D06F6E">
      <w:pPr>
        <w:pStyle w:val="FootnoteText"/>
        <w:ind w:leftChars="200" w:left="480"/>
        <w:rPr>
          <w:sz w:val="18"/>
          <w:szCs w:val="18"/>
        </w:rPr>
      </w:pPr>
      <w:hyperlink r:id="rId8" w:history="1">
        <w:r w:rsidR="00493E71" w:rsidRPr="00D06F6E">
          <w:rPr>
            <w:rStyle w:val="Hyperlink"/>
            <w:sz w:val="18"/>
            <w:szCs w:val="18"/>
          </w:rPr>
          <w:t>http://finance.yahoo.com/quote/NBL?p=NBL</w:t>
        </w:r>
      </w:hyperlink>
      <w:r w:rsidR="00493E71" w:rsidRPr="00D06F6E">
        <w:rPr>
          <w:sz w:val="18"/>
          <w:szCs w:val="18"/>
        </w:rPr>
        <w:t xml:space="preserve"> </w:t>
      </w:r>
    </w:p>
  </w:footnote>
  <w:footnote w:id="9">
    <w:p w14:paraId="15B00BFF"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“NBL.” Accessed November 8, 2016</w:t>
      </w:r>
    </w:p>
    <w:p w14:paraId="1DC9048A" w14:textId="77777777" w:rsidR="00493E71" w:rsidRPr="00D06F6E" w:rsidRDefault="00346D6B" w:rsidP="00D06F6E">
      <w:pPr>
        <w:pStyle w:val="FootnoteText"/>
        <w:ind w:leftChars="200" w:left="480"/>
        <w:rPr>
          <w:sz w:val="18"/>
          <w:szCs w:val="18"/>
        </w:rPr>
      </w:pPr>
      <w:hyperlink r:id="rId9" w:history="1">
        <w:r w:rsidR="00493E71" w:rsidRPr="00D06F6E">
          <w:rPr>
            <w:rStyle w:val="Hyperlink"/>
            <w:sz w:val="18"/>
            <w:szCs w:val="18"/>
          </w:rPr>
          <w:t>http://finance.yahoo.com/quote/NBL/key-statistics?p=NBL</w:t>
        </w:r>
      </w:hyperlink>
      <w:r w:rsidR="00493E71" w:rsidRPr="00D06F6E">
        <w:rPr>
          <w:sz w:val="18"/>
          <w:szCs w:val="18"/>
        </w:rPr>
        <w:t xml:space="preserve"> </w:t>
      </w:r>
    </w:p>
  </w:footnote>
  <w:footnote w:id="10">
    <w:p w14:paraId="43BFDFE0"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“APC.” Accessed November 8, 2016</w:t>
      </w:r>
    </w:p>
    <w:p w14:paraId="32FC61A1" w14:textId="77777777" w:rsidR="00493E71" w:rsidRPr="00D06F6E" w:rsidRDefault="00346D6B" w:rsidP="00D06F6E">
      <w:pPr>
        <w:pStyle w:val="FootnoteText"/>
        <w:ind w:leftChars="200" w:left="480"/>
        <w:rPr>
          <w:sz w:val="18"/>
          <w:szCs w:val="18"/>
        </w:rPr>
      </w:pPr>
      <w:hyperlink r:id="rId10" w:history="1">
        <w:r w:rsidR="00493E71" w:rsidRPr="00D06F6E">
          <w:rPr>
            <w:rStyle w:val="Hyperlink"/>
            <w:sz w:val="18"/>
            <w:szCs w:val="18"/>
          </w:rPr>
          <w:t>https://finance.yahoo.com/quote/APC/key-statistics?p=APC</w:t>
        </w:r>
      </w:hyperlink>
      <w:r w:rsidR="00493E71" w:rsidRPr="00D06F6E">
        <w:rPr>
          <w:sz w:val="18"/>
          <w:szCs w:val="18"/>
        </w:rPr>
        <w:t xml:space="preserve"> </w:t>
      </w:r>
    </w:p>
  </w:footnote>
  <w:footnote w:id="11">
    <w:p w14:paraId="173A1B62"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“NBL.” Accessed November 8, 2016</w:t>
      </w:r>
    </w:p>
    <w:p w14:paraId="2B39336D" w14:textId="77777777" w:rsidR="00493E71" w:rsidRPr="00D06F6E" w:rsidRDefault="00346D6B" w:rsidP="00D06F6E">
      <w:pPr>
        <w:pStyle w:val="FootnoteText"/>
        <w:ind w:leftChars="200" w:left="480"/>
        <w:rPr>
          <w:sz w:val="18"/>
          <w:szCs w:val="18"/>
        </w:rPr>
      </w:pPr>
      <w:hyperlink r:id="rId11" w:history="1">
        <w:r w:rsidR="00493E71" w:rsidRPr="00D06F6E">
          <w:rPr>
            <w:rStyle w:val="Hyperlink"/>
            <w:sz w:val="18"/>
            <w:szCs w:val="18"/>
          </w:rPr>
          <w:t>http://finance.yahoo.com/quote/NBL/key-statistics?p=NBL</w:t>
        </w:r>
      </w:hyperlink>
      <w:r w:rsidR="00493E71" w:rsidRPr="00D06F6E">
        <w:rPr>
          <w:sz w:val="18"/>
          <w:szCs w:val="18"/>
        </w:rPr>
        <w:t xml:space="preserve"> </w:t>
      </w:r>
    </w:p>
  </w:footnote>
  <w:footnote w:id="12">
    <w:p w14:paraId="4C76B89C"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“APC.” Accessed November 8, 2016</w:t>
      </w:r>
    </w:p>
    <w:p w14:paraId="0195149D" w14:textId="77777777" w:rsidR="00493E71" w:rsidRPr="00D06F6E" w:rsidRDefault="00346D6B" w:rsidP="00D06F6E">
      <w:pPr>
        <w:pStyle w:val="FootnoteText"/>
        <w:ind w:leftChars="200" w:left="480"/>
        <w:rPr>
          <w:sz w:val="18"/>
          <w:szCs w:val="18"/>
        </w:rPr>
      </w:pPr>
      <w:hyperlink r:id="rId12" w:history="1">
        <w:r w:rsidR="00493E71" w:rsidRPr="00D06F6E">
          <w:rPr>
            <w:rStyle w:val="Hyperlink"/>
            <w:sz w:val="18"/>
            <w:szCs w:val="18"/>
          </w:rPr>
          <w:t>https://finance.yahoo.com/quote/APC/key-statistics?p=APC</w:t>
        </w:r>
      </w:hyperlink>
      <w:r w:rsidR="00493E71" w:rsidRPr="00D06F6E">
        <w:rPr>
          <w:sz w:val="18"/>
          <w:szCs w:val="18"/>
        </w:rPr>
        <w:t xml:space="preserve"> </w:t>
      </w:r>
    </w:p>
  </w:footnote>
  <w:footnote w:id="13">
    <w:p w14:paraId="4F4479A4"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“NBL.” Accessed November 8, 2016</w:t>
      </w:r>
    </w:p>
    <w:p w14:paraId="10FB61AC" w14:textId="77777777" w:rsidR="00493E71" w:rsidRPr="00D06F6E" w:rsidRDefault="00346D6B" w:rsidP="00D06F6E">
      <w:pPr>
        <w:pStyle w:val="FootnoteText"/>
        <w:ind w:leftChars="200" w:left="480"/>
        <w:rPr>
          <w:sz w:val="18"/>
          <w:szCs w:val="18"/>
        </w:rPr>
      </w:pPr>
      <w:hyperlink r:id="rId13" w:history="1">
        <w:r w:rsidR="00493E71" w:rsidRPr="00D06F6E">
          <w:rPr>
            <w:rStyle w:val="Hyperlink"/>
            <w:sz w:val="18"/>
            <w:szCs w:val="18"/>
          </w:rPr>
          <w:t>http://finance.yahoo.com/quote/NBL/financials?p=NBL</w:t>
        </w:r>
      </w:hyperlink>
      <w:r w:rsidR="00493E71" w:rsidRPr="00D06F6E">
        <w:rPr>
          <w:sz w:val="18"/>
          <w:szCs w:val="18"/>
        </w:rPr>
        <w:t xml:space="preserve"> </w:t>
      </w:r>
    </w:p>
  </w:footnote>
  <w:footnote w:id="14">
    <w:p w14:paraId="16DEC14E" w14:textId="77777777" w:rsidR="00493E71" w:rsidRPr="00D06F6E" w:rsidRDefault="00493E71" w:rsidP="00D06F6E">
      <w:pPr>
        <w:pStyle w:val="FootnoteText"/>
        <w:rPr>
          <w:sz w:val="18"/>
          <w:szCs w:val="18"/>
        </w:rPr>
      </w:pPr>
      <w:r w:rsidRPr="00D06F6E">
        <w:rPr>
          <w:rStyle w:val="FootnoteReference"/>
          <w:sz w:val="18"/>
          <w:szCs w:val="18"/>
        </w:rPr>
        <w:footnoteRef/>
      </w:r>
      <w:r w:rsidRPr="00D06F6E">
        <w:rPr>
          <w:sz w:val="18"/>
          <w:szCs w:val="18"/>
        </w:rPr>
        <w:t xml:space="preserve"> Yahoo Finance. “APC.” Accessed November 8, 2016</w:t>
      </w:r>
    </w:p>
    <w:p w14:paraId="7AAA7B30" w14:textId="77777777" w:rsidR="00493E71" w:rsidRPr="00D06F6E" w:rsidRDefault="00346D6B" w:rsidP="00D06F6E">
      <w:pPr>
        <w:pStyle w:val="FootnoteText"/>
        <w:ind w:leftChars="200" w:left="480"/>
        <w:rPr>
          <w:sz w:val="18"/>
          <w:szCs w:val="18"/>
        </w:rPr>
      </w:pPr>
      <w:hyperlink r:id="rId14" w:history="1">
        <w:r w:rsidR="00493E71" w:rsidRPr="00D06F6E">
          <w:rPr>
            <w:rStyle w:val="Hyperlink"/>
            <w:sz w:val="18"/>
            <w:szCs w:val="18"/>
          </w:rPr>
          <w:t>https://finance.yahoo.com/quote/APC/financials?p=APC</w:t>
        </w:r>
      </w:hyperlink>
      <w:r w:rsidR="00493E71" w:rsidRPr="00D06F6E">
        <w:rPr>
          <w:sz w:val="18"/>
          <w:szCs w:val="18"/>
        </w:rPr>
        <w:t xml:space="preserve"> </w:t>
      </w:r>
    </w:p>
  </w:footnote>
  <w:footnote w:id="15">
    <w:p w14:paraId="5ABEA011" w14:textId="77777777" w:rsidR="00493E71" w:rsidRDefault="00493E71" w:rsidP="001E5E2C">
      <w:pPr>
        <w:pStyle w:val="FootnoteText"/>
        <w:rPr>
          <w:rFonts w:ascii="Times New Roman" w:hAnsi="Times New Roman" w:cs="Times New Roman"/>
          <w:bCs/>
          <w:color w:val="262626"/>
          <w:sz w:val="18"/>
          <w:szCs w:val="18"/>
          <w:lang w:eastAsia="zh-CN"/>
        </w:rPr>
      </w:pPr>
      <w:r w:rsidRPr="00786D83">
        <w:rPr>
          <w:rStyle w:val="FootnoteReference"/>
          <w:rFonts w:ascii="Times New Roman" w:hAnsi="Times New Roman" w:cs="Times New Roman"/>
          <w:sz w:val="18"/>
          <w:szCs w:val="18"/>
        </w:rPr>
        <w:footnoteRef/>
      </w:r>
      <w:r w:rsidRPr="00786D83">
        <w:rPr>
          <w:rFonts w:ascii="Times New Roman" w:hAnsi="Times New Roman" w:cs="Times New Roman"/>
          <w:sz w:val="18"/>
          <w:szCs w:val="18"/>
        </w:rPr>
        <w:t xml:space="preserve"> </w:t>
      </w:r>
      <w:r w:rsidRPr="00786D83">
        <w:rPr>
          <w:rFonts w:ascii="Times New Roman" w:hAnsi="Times New Roman" w:cs="Times New Roman"/>
          <w:bCs/>
          <w:color w:val="000000"/>
          <w:sz w:val="18"/>
          <w:szCs w:val="18"/>
        </w:rPr>
        <w:t xml:space="preserve">Noble Energy Inc. </w:t>
      </w:r>
      <w:r w:rsidRPr="00786D83">
        <w:rPr>
          <w:rFonts w:ascii="Times New Roman" w:hAnsi="Times New Roman" w:cs="Times New Roman"/>
          <w:bCs/>
          <w:color w:val="262626"/>
          <w:sz w:val="18"/>
          <w:szCs w:val="18"/>
        </w:rPr>
        <w:t>"Offer Exchange Prospectus."</w:t>
      </w:r>
      <w:r w:rsidRPr="00786D83">
        <w:rPr>
          <w:rFonts w:ascii="Times New Roman" w:hAnsi="Times New Roman" w:cs="Times New Roman"/>
          <w:bCs/>
          <w:color w:val="262626"/>
          <w:sz w:val="18"/>
          <w:szCs w:val="18"/>
          <w:lang w:eastAsia="zh-CN"/>
        </w:rPr>
        <w:t>P.76.</w:t>
      </w:r>
      <w:r w:rsidRPr="00786D83">
        <w:rPr>
          <w:rFonts w:ascii="Times New Roman" w:hAnsi="Times New Roman" w:cs="Times New Roman"/>
          <w:bCs/>
          <w:color w:val="262626"/>
          <w:sz w:val="18"/>
          <w:szCs w:val="18"/>
        </w:rPr>
        <w:t xml:space="preserve"> 2015 SEC EDGAR System. Accessed November 08, 2016.</w:t>
      </w:r>
    </w:p>
    <w:p w14:paraId="325671BE" w14:textId="00549E4A" w:rsidR="00493E71" w:rsidRPr="00786D83" w:rsidRDefault="00493E71" w:rsidP="001E5E2C">
      <w:pPr>
        <w:pStyle w:val="FootnoteText"/>
        <w:rPr>
          <w:rFonts w:ascii="Times New Roman" w:hAnsi="Times New Roman" w:cs="Times New Roman"/>
          <w:bCs/>
          <w:color w:val="222222"/>
          <w:sz w:val="18"/>
          <w:szCs w:val="18"/>
          <w:shd w:val="clear" w:color="auto" w:fill="FFFFFF"/>
          <w:lang w:eastAsia="zh-CN"/>
        </w:rPr>
      </w:pPr>
      <w:r>
        <w:rPr>
          <w:rFonts w:ascii="Times New Roman" w:hAnsi="Times New Roman" w:cs="Times New Roman" w:hint="eastAsia"/>
          <w:bCs/>
          <w:color w:val="262626"/>
          <w:sz w:val="18"/>
          <w:szCs w:val="18"/>
          <w:lang w:eastAsia="zh-CN"/>
        </w:rPr>
        <w:t xml:space="preserve">          </w:t>
      </w:r>
      <w:r w:rsidRPr="00786D83">
        <w:rPr>
          <w:rFonts w:ascii="Times New Roman" w:hAnsi="Times New Roman" w:cs="Times New Roman"/>
          <w:bCs/>
          <w:color w:val="262626"/>
          <w:sz w:val="18"/>
          <w:szCs w:val="18"/>
        </w:rPr>
        <w:t xml:space="preserve"> </w:t>
      </w:r>
      <w:hyperlink r:id="rId15" w:history="1">
        <w:r w:rsidRPr="00786D83">
          <w:rPr>
            <w:rStyle w:val="Hyperlink"/>
            <w:rFonts w:ascii="Times New Roman" w:hAnsi="Times New Roman" w:cs="Times New Roman"/>
            <w:bCs/>
            <w:sz w:val="18"/>
            <w:szCs w:val="18"/>
            <w:shd w:val="clear" w:color="auto" w:fill="FFFFFF"/>
          </w:rPr>
          <w:t>https://www.sec.gov/Archives/edgar/data/72207/000119312515254968/d943440d424b3.htm</w:t>
        </w:r>
      </w:hyperlink>
    </w:p>
  </w:footnote>
  <w:footnote w:id="16">
    <w:p w14:paraId="7180AED3" w14:textId="77777777" w:rsidR="00493E71" w:rsidRDefault="00493E71" w:rsidP="00670834">
      <w:pPr>
        <w:pStyle w:val="FootnoteText"/>
        <w:rPr>
          <w:rFonts w:ascii="Times New Roman" w:hAnsi="Times New Roman" w:cs="Times New Roman"/>
          <w:bCs/>
          <w:color w:val="262626"/>
          <w:sz w:val="18"/>
          <w:szCs w:val="18"/>
          <w:lang w:eastAsia="zh-CN"/>
        </w:rPr>
      </w:pPr>
      <w:r w:rsidRPr="003D503E">
        <w:rPr>
          <w:rStyle w:val="FootnoteReference"/>
          <w:sz w:val="18"/>
          <w:szCs w:val="18"/>
        </w:rPr>
        <w:footnoteRef/>
      </w:r>
      <w:r w:rsidRPr="003D503E">
        <w:rPr>
          <w:sz w:val="18"/>
          <w:szCs w:val="18"/>
        </w:rPr>
        <w:t xml:space="preserve"> </w:t>
      </w:r>
      <w:r w:rsidRPr="00670834">
        <w:rPr>
          <w:rFonts w:ascii="Times New Roman" w:hAnsi="Times New Roman"/>
          <w:bCs/>
          <w:color w:val="000000"/>
          <w:sz w:val="18"/>
          <w:szCs w:val="18"/>
        </w:rPr>
        <w:t xml:space="preserve">Noble Energy Inc. </w:t>
      </w:r>
      <w:r w:rsidRPr="00670834">
        <w:rPr>
          <w:rFonts w:ascii="Times New Roman" w:hAnsi="Times New Roman" w:cs="Times New Roman"/>
          <w:bCs/>
          <w:color w:val="262626"/>
          <w:sz w:val="18"/>
          <w:szCs w:val="18"/>
        </w:rPr>
        <w:t>"Offer Exchange Prospectus."</w:t>
      </w:r>
      <w:r w:rsidRPr="00670834">
        <w:rPr>
          <w:rFonts w:ascii="Times New Roman" w:hAnsi="Times New Roman" w:cs="Times New Roman" w:hint="eastAsia"/>
          <w:bCs/>
          <w:color w:val="262626"/>
          <w:sz w:val="18"/>
          <w:szCs w:val="18"/>
          <w:lang w:eastAsia="zh-CN"/>
        </w:rPr>
        <w:t>P.</w:t>
      </w:r>
      <w:r>
        <w:rPr>
          <w:rFonts w:ascii="Times New Roman" w:hAnsi="Times New Roman" w:cs="Times New Roman" w:hint="eastAsia"/>
          <w:bCs/>
          <w:color w:val="262626"/>
          <w:sz w:val="18"/>
          <w:szCs w:val="18"/>
          <w:lang w:eastAsia="zh-CN"/>
        </w:rPr>
        <w:t>57-73</w:t>
      </w:r>
      <w:r w:rsidRPr="00670834">
        <w:rPr>
          <w:rFonts w:ascii="Times New Roman" w:hAnsi="Times New Roman" w:cs="Times New Roman" w:hint="eastAsia"/>
          <w:bCs/>
          <w:color w:val="262626"/>
          <w:sz w:val="18"/>
          <w:szCs w:val="18"/>
          <w:lang w:eastAsia="zh-CN"/>
        </w:rPr>
        <w:t>.</w:t>
      </w:r>
      <w:r>
        <w:rPr>
          <w:rFonts w:ascii="Times New Roman" w:hAnsi="Times New Roman" w:cs="Times New Roman" w:hint="eastAsia"/>
          <w:bCs/>
          <w:color w:val="262626"/>
          <w:sz w:val="18"/>
          <w:szCs w:val="18"/>
          <w:lang w:eastAsia="zh-CN"/>
        </w:rPr>
        <w:t xml:space="preserve"> (</w:t>
      </w:r>
      <w:r w:rsidRPr="00670834">
        <w:rPr>
          <w:rFonts w:ascii="Times New Roman" w:hAnsi="Times New Roman" w:cs="Times New Roman"/>
          <w:bCs/>
          <w:color w:val="262626"/>
          <w:sz w:val="18"/>
          <w:szCs w:val="18"/>
        </w:rPr>
        <w:t>2015</w:t>
      </w:r>
      <w:r>
        <w:rPr>
          <w:rFonts w:ascii="Times New Roman" w:hAnsi="Times New Roman" w:cs="Times New Roman" w:hint="eastAsia"/>
          <w:bCs/>
          <w:color w:val="262626"/>
          <w:sz w:val="18"/>
          <w:szCs w:val="18"/>
          <w:lang w:eastAsia="zh-CN"/>
        </w:rPr>
        <w:t>).</w:t>
      </w:r>
      <w:r w:rsidRPr="00670834">
        <w:rPr>
          <w:rFonts w:ascii="Times New Roman" w:hAnsi="Times New Roman" w:cs="Times New Roman"/>
          <w:bCs/>
          <w:color w:val="262626"/>
          <w:sz w:val="18"/>
          <w:szCs w:val="18"/>
        </w:rPr>
        <w:t xml:space="preserve"> SEC EDGAR System. Accessed November 08, 2016. </w:t>
      </w:r>
    </w:p>
    <w:p w14:paraId="7389C0D6" w14:textId="2A1D3883" w:rsidR="00493E71" w:rsidRPr="00786D83" w:rsidRDefault="00493E71" w:rsidP="001E5E2C">
      <w:pPr>
        <w:pStyle w:val="FootnoteText"/>
        <w:rPr>
          <w:rFonts w:ascii="Times New Roman" w:hAnsi="Times New Roman"/>
          <w:bCs/>
          <w:color w:val="222222"/>
          <w:sz w:val="18"/>
          <w:szCs w:val="18"/>
          <w:shd w:val="clear" w:color="auto" w:fill="FFFFFF"/>
          <w:lang w:eastAsia="zh-CN"/>
        </w:rPr>
      </w:pPr>
      <w:r>
        <w:rPr>
          <w:rFonts w:ascii="Times New Roman" w:hAnsi="Times New Roman" w:cs="Times New Roman" w:hint="eastAsia"/>
          <w:bCs/>
          <w:color w:val="262626"/>
          <w:sz w:val="18"/>
          <w:szCs w:val="18"/>
          <w:lang w:eastAsia="zh-CN"/>
        </w:rPr>
        <w:t xml:space="preserve">           </w:t>
      </w:r>
      <w:hyperlink r:id="rId16" w:history="1">
        <w:r w:rsidRPr="000341D7">
          <w:rPr>
            <w:rStyle w:val="Hyperlink"/>
            <w:rFonts w:ascii="Times New Roman" w:hAnsi="Times New Roman"/>
            <w:bCs/>
            <w:sz w:val="18"/>
            <w:szCs w:val="18"/>
            <w:shd w:val="clear" w:color="auto" w:fill="FFFFFF"/>
          </w:rPr>
          <w:t>https://www.sec.gov/Archives/edgar/data/72207/000119312515254968/d943440d424b3.htm</w:t>
        </w:r>
      </w:hyperlink>
    </w:p>
  </w:footnote>
  <w:footnote w:id="17">
    <w:p w14:paraId="06C5D69B" w14:textId="77777777" w:rsidR="00493E71" w:rsidRDefault="00493E71" w:rsidP="00670834">
      <w:pPr>
        <w:pStyle w:val="FootnoteText"/>
        <w:rPr>
          <w:rFonts w:ascii="Times New Roman" w:hAnsi="Times New Roman" w:cs="Times New Roman"/>
          <w:bCs/>
          <w:color w:val="262626"/>
          <w:sz w:val="18"/>
          <w:szCs w:val="18"/>
          <w:lang w:eastAsia="zh-CN"/>
        </w:rPr>
      </w:pPr>
      <w:r w:rsidRPr="003D503E">
        <w:rPr>
          <w:rStyle w:val="FootnoteReference"/>
          <w:sz w:val="18"/>
          <w:szCs w:val="18"/>
        </w:rPr>
        <w:footnoteRef/>
      </w:r>
      <w:r w:rsidRPr="003D503E">
        <w:rPr>
          <w:sz w:val="18"/>
          <w:szCs w:val="18"/>
        </w:rPr>
        <w:t xml:space="preserve"> </w:t>
      </w:r>
      <w:r w:rsidRPr="00670834">
        <w:rPr>
          <w:rFonts w:ascii="Times New Roman" w:hAnsi="Times New Roman"/>
          <w:bCs/>
          <w:color w:val="000000"/>
          <w:sz w:val="18"/>
          <w:szCs w:val="18"/>
        </w:rPr>
        <w:t xml:space="preserve">Noble Energy Inc. </w:t>
      </w:r>
      <w:r w:rsidRPr="00670834">
        <w:rPr>
          <w:rFonts w:ascii="Times New Roman" w:hAnsi="Times New Roman" w:cs="Times New Roman"/>
          <w:bCs/>
          <w:color w:val="262626"/>
          <w:sz w:val="18"/>
          <w:szCs w:val="18"/>
        </w:rPr>
        <w:t>"Offer Exchange Prospectus."</w:t>
      </w:r>
      <w:r w:rsidRPr="00670834">
        <w:rPr>
          <w:rFonts w:ascii="Times New Roman" w:hAnsi="Times New Roman" w:cs="Times New Roman" w:hint="eastAsia"/>
          <w:bCs/>
          <w:color w:val="262626"/>
          <w:sz w:val="18"/>
          <w:szCs w:val="18"/>
          <w:lang w:eastAsia="zh-CN"/>
        </w:rPr>
        <w:t>P.</w:t>
      </w:r>
      <w:r>
        <w:rPr>
          <w:rFonts w:ascii="Times New Roman" w:hAnsi="Times New Roman" w:cs="Times New Roman" w:hint="eastAsia"/>
          <w:bCs/>
          <w:color w:val="262626"/>
          <w:sz w:val="18"/>
          <w:szCs w:val="18"/>
          <w:lang w:eastAsia="zh-CN"/>
        </w:rPr>
        <w:t>7</w:t>
      </w:r>
      <w:r w:rsidRPr="00670834">
        <w:rPr>
          <w:rFonts w:ascii="Times New Roman" w:hAnsi="Times New Roman" w:cs="Times New Roman" w:hint="eastAsia"/>
          <w:bCs/>
          <w:color w:val="262626"/>
          <w:sz w:val="18"/>
          <w:szCs w:val="18"/>
          <w:lang w:eastAsia="zh-CN"/>
        </w:rPr>
        <w:t>.</w:t>
      </w:r>
      <w:r w:rsidRPr="00670834">
        <w:rPr>
          <w:rFonts w:ascii="Times New Roman" w:hAnsi="Times New Roman" w:cs="Times New Roman"/>
          <w:bCs/>
          <w:color w:val="262626"/>
          <w:sz w:val="18"/>
          <w:szCs w:val="18"/>
        </w:rPr>
        <w:t xml:space="preserve"> </w:t>
      </w:r>
      <w:r>
        <w:rPr>
          <w:rFonts w:ascii="Times New Roman" w:hAnsi="Times New Roman" w:cs="Times New Roman" w:hint="eastAsia"/>
          <w:bCs/>
          <w:color w:val="262626"/>
          <w:sz w:val="18"/>
          <w:szCs w:val="18"/>
          <w:lang w:eastAsia="zh-CN"/>
        </w:rPr>
        <w:t>(</w:t>
      </w:r>
      <w:r w:rsidRPr="00670834">
        <w:rPr>
          <w:rFonts w:ascii="Times New Roman" w:hAnsi="Times New Roman" w:cs="Times New Roman"/>
          <w:bCs/>
          <w:color w:val="262626"/>
          <w:sz w:val="18"/>
          <w:szCs w:val="18"/>
        </w:rPr>
        <w:t>2015</w:t>
      </w:r>
      <w:r>
        <w:rPr>
          <w:rFonts w:ascii="Times New Roman" w:hAnsi="Times New Roman" w:cs="Times New Roman" w:hint="eastAsia"/>
          <w:bCs/>
          <w:color w:val="262626"/>
          <w:sz w:val="18"/>
          <w:szCs w:val="18"/>
          <w:lang w:eastAsia="zh-CN"/>
        </w:rPr>
        <w:t>)</w:t>
      </w:r>
      <w:r w:rsidRPr="00670834">
        <w:rPr>
          <w:rFonts w:ascii="Times New Roman" w:hAnsi="Times New Roman" w:cs="Times New Roman"/>
          <w:bCs/>
          <w:color w:val="262626"/>
          <w:sz w:val="18"/>
          <w:szCs w:val="18"/>
        </w:rPr>
        <w:t xml:space="preserve"> SEC EDGAR System. Accessed November 08, 2016.</w:t>
      </w:r>
    </w:p>
    <w:p w14:paraId="2402F30F" w14:textId="6EC6BE5D" w:rsidR="00493E71" w:rsidRDefault="00493E71" w:rsidP="00670834">
      <w:pPr>
        <w:pStyle w:val="FootnoteText"/>
        <w:rPr>
          <w:rFonts w:ascii="Times New Roman" w:hAnsi="Times New Roman"/>
          <w:bCs/>
          <w:color w:val="222222"/>
          <w:sz w:val="18"/>
          <w:szCs w:val="18"/>
          <w:shd w:val="clear" w:color="auto" w:fill="FFFFFF"/>
          <w:lang w:eastAsia="zh-CN"/>
        </w:rPr>
      </w:pPr>
      <w:r w:rsidRPr="00670834">
        <w:rPr>
          <w:rFonts w:ascii="Times New Roman" w:hAnsi="Times New Roman" w:cs="Times New Roman"/>
          <w:bCs/>
          <w:color w:val="262626"/>
          <w:sz w:val="18"/>
          <w:szCs w:val="18"/>
        </w:rPr>
        <w:t xml:space="preserve"> </w:t>
      </w:r>
      <w:r>
        <w:rPr>
          <w:rFonts w:ascii="Times New Roman" w:hAnsi="Times New Roman" w:cs="Times New Roman" w:hint="eastAsia"/>
          <w:bCs/>
          <w:color w:val="262626"/>
          <w:sz w:val="18"/>
          <w:szCs w:val="18"/>
          <w:lang w:eastAsia="zh-CN"/>
        </w:rPr>
        <w:t xml:space="preserve">        </w:t>
      </w:r>
      <w:hyperlink r:id="rId17" w:history="1">
        <w:r w:rsidRPr="000341D7">
          <w:rPr>
            <w:rStyle w:val="Hyperlink"/>
            <w:rFonts w:ascii="Times New Roman" w:hAnsi="Times New Roman"/>
            <w:bCs/>
            <w:sz w:val="18"/>
            <w:szCs w:val="18"/>
            <w:shd w:val="clear" w:color="auto" w:fill="FFFFFF"/>
          </w:rPr>
          <w:t>https://www.sec.gov/Archives/edgar/data/72207/000119312515254968/d943440d424b3.htm</w:t>
        </w:r>
      </w:hyperlink>
    </w:p>
    <w:p w14:paraId="50B1141E" w14:textId="77777777" w:rsidR="00493E71" w:rsidRPr="003D503E" w:rsidRDefault="00493E71" w:rsidP="001E5E2C">
      <w:pPr>
        <w:pStyle w:val="FootnoteText"/>
        <w:rPr>
          <w:sz w:val="18"/>
          <w:szCs w:val="18"/>
          <w:lang w:eastAsia="zh-CN"/>
        </w:rPr>
      </w:pPr>
    </w:p>
  </w:footnote>
  <w:footnote w:id="18">
    <w:p w14:paraId="5981EF9E" w14:textId="77777777" w:rsidR="00493E71" w:rsidRDefault="00493E71" w:rsidP="001E5E2C">
      <w:pPr>
        <w:pStyle w:val="FootnoteText"/>
        <w:rPr>
          <w:rFonts w:ascii="Times New Roman" w:hAnsi="Times New Roman"/>
          <w:bCs/>
          <w:color w:val="000000"/>
          <w:sz w:val="18"/>
          <w:szCs w:val="18"/>
          <w:lang w:eastAsia="zh-CN"/>
        </w:rPr>
      </w:pPr>
      <w:r w:rsidRPr="003D503E">
        <w:rPr>
          <w:rStyle w:val="FootnoteReference"/>
          <w:sz w:val="18"/>
          <w:szCs w:val="18"/>
        </w:rPr>
        <w:footnoteRef/>
      </w:r>
      <w:r w:rsidRPr="003D503E">
        <w:rPr>
          <w:sz w:val="18"/>
          <w:szCs w:val="18"/>
        </w:rPr>
        <w:t xml:space="preserve"> </w:t>
      </w:r>
      <w:r w:rsidRPr="003D503E">
        <w:rPr>
          <w:rFonts w:ascii="Times New Roman" w:hAnsi="Times New Roman"/>
          <w:bCs/>
          <w:color w:val="000000"/>
          <w:sz w:val="18"/>
          <w:szCs w:val="18"/>
        </w:rPr>
        <w:t>FINRA. “</w:t>
      </w:r>
      <w:r>
        <w:rPr>
          <w:rFonts w:ascii="Times New Roman" w:hAnsi="Times New Roman"/>
          <w:bCs/>
          <w:color w:val="000000"/>
          <w:sz w:val="18"/>
          <w:szCs w:val="18"/>
        </w:rPr>
        <w:t>Bond Detail: Noble Energy Inc.”</w:t>
      </w:r>
      <w:r>
        <w:rPr>
          <w:rFonts w:ascii="Times New Roman" w:hAnsi="Times New Roman" w:hint="eastAsia"/>
          <w:bCs/>
          <w:color w:val="000000"/>
          <w:sz w:val="18"/>
          <w:szCs w:val="18"/>
          <w:lang w:eastAsia="zh-CN"/>
        </w:rPr>
        <w:t xml:space="preserve">. </w:t>
      </w:r>
      <w:r w:rsidRPr="003D503E">
        <w:rPr>
          <w:rFonts w:ascii="Times New Roman" w:hAnsi="Times New Roman"/>
          <w:bCs/>
          <w:color w:val="000000"/>
          <w:sz w:val="18"/>
          <w:szCs w:val="18"/>
        </w:rPr>
        <w:t>Accessed November 8, 2016.</w:t>
      </w:r>
    </w:p>
    <w:p w14:paraId="3B96EC20" w14:textId="5FCE6518" w:rsidR="00493E71" w:rsidRPr="00670834" w:rsidRDefault="00493E71" w:rsidP="001E5E2C">
      <w:pPr>
        <w:pStyle w:val="FootnoteText"/>
        <w:rPr>
          <w:rFonts w:ascii="Times New Roman" w:hAnsi="Times New Roman"/>
          <w:bCs/>
          <w:color w:val="000000"/>
          <w:sz w:val="18"/>
          <w:szCs w:val="18"/>
          <w:lang w:eastAsia="zh-CN"/>
        </w:rPr>
      </w:pPr>
      <w:r>
        <w:rPr>
          <w:rFonts w:ascii="Times New Roman" w:hAnsi="Times New Roman" w:hint="eastAsia"/>
          <w:bCs/>
          <w:color w:val="000000"/>
          <w:sz w:val="18"/>
          <w:szCs w:val="18"/>
          <w:lang w:eastAsia="zh-CN"/>
        </w:rPr>
        <w:t xml:space="preserve">        </w:t>
      </w:r>
      <w:r w:rsidRPr="003D503E">
        <w:rPr>
          <w:rFonts w:ascii="Times New Roman" w:hAnsi="Times New Roman"/>
          <w:bCs/>
          <w:color w:val="000000"/>
          <w:sz w:val="18"/>
          <w:szCs w:val="18"/>
        </w:rPr>
        <w:t xml:space="preserve"> </w:t>
      </w:r>
      <w:hyperlink r:id="rId18" w:history="1">
        <w:r w:rsidRPr="000341D7">
          <w:rPr>
            <w:rStyle w:val="Hyperlink"/>
            <w:rFonts w:ascii="Times New Roman" w:hAnsi="Times New Roman"/>
            <w:bCs/>
            <w:sz w:val="18"/>
            <w:szCs w:val="18"/>
          </w:rPr>
          <w:t>http://finra-markets.morningstar.com/BondCenter/BondDetail.jsp?ticker=C635837&amp;symbol=NBL4274735</w:t>
        </w:r>
      </w:hyperlink>
    </w:p>
  </w:footnote>
  <w:footnote w:id="19">
    <w:p w14:paraId="12811A1E" w14:textId="77777777" w:rsidR="00493E71" w:rsidRDefault="00493E71" w:rsidP="001E5E2C">
      <w:pPr>
        <w:widowControl w:val="0"/>
        <w:autoSpaceDE w:val="0"/>
        <w:autoSpaceDN w:val="0"/>
        <w:adjustRightInd w:val="0"/>
        <w:rPr>
          <w:rFonts w:ascii="Times New Roman" w:hAnsi="Times New Roman" w:cs="OpenSans-Semibold"/>
          <w:color w:val="262626"/>
          <w:sz w:val="18"/>
          <w:szCs w:val="18"/>
          <w:lang w:eastAsia="zh-CN"/>
        </w:rPr>
      </w:pPr>
      <w:r w:rsidRPr="00F2524C">
        <w:rPr>
          <w:rStyle w:val="FootnoteReference"/>
          <w:rFonts w:ascii="Times New Roman" w:hAnsi="Times New Roman"/>
          <w:sz w:val="18"/>
          <w:szCs w:val="18"/>
        </w:rPr>
        <w:footnoteRef/>
      </w:r>
      <w:r w:rsidRPr="00F2524C">
        <w:rPr>
          <w:rFonts w:ascii="Times New Roman" w:hAnsi="Times New Roman"/>
          <w:sz w:val="18"/>
          <w:szCs w:val="18"/>
        </w:rPr>
        <w:t xml:space="preserve"> </w:t>
      </w:r>
      <w:r w:rsidRPr="00F2524C">
        <w:rPr>
          <w:rFonts w:ascii="Times New Roman" w:hAnsi="Times New Roman" w:cs="OpenSans-Semibold"/>
          <w:color w:val="262626"/>
          <w:sz w:val="18"/>
          <w:szCs w:val="18"/>
        </w:rPr>
        <w:t>Moodys.com.</w:t>
      </w:r>
      <w:r>
        <w:rPr>
          <w:rFonts w:ascii="Times New Roman" w:hAnsi="Times New Roman" w:cs="OpenSans-Semibold"/>
          <w:color w:val="262626"/>
          <w:sz w:val="18"/>
          <w:szCs w:val="18"/>
        </w:rPr>
        <w:t xml:space="preserve"> </w:t>
      </w:r>
      <w:r w:rsidRPr="00F2524C">
        <w:rPr>
          <w:rFonts w:ascii="Times New Roman" w:hAnsi="Times New Roman" w:cs="OpenSans-Semibold"/>
          <w:color w:val="262626"/>
          <w:sz w:val="18"/>
          <w:szCs w:val="18"/>
        </w:rPr>
        <w:t>"Moody's Concludes Reviews for 9 US Baa-rated E&amp;</w:t>
      </w:r>
      <w:r>
        <w:rPr>
          <w:rFonts w:ascii="Times New Roman" w:hAnsi="Times New Roman" w:cs="OpenSans-Semibold"/>
          <w:color w:val="262626"/>
          <w:sz w:val="18"/>
          <w:szCs w:val="18"/>
        </w:rPr>
        <w:t>P Companies and 2 MLPs." (2016)</w:t>
      </w:r>
      <w:r>
        <w:rPr>
          <w:rFonts w:ascii="Times New Roman" w:hAnsi="Times New Roman" w:cs="OpenSans-Semibold" w:hint="eastAsia"/>
          <w:color w:val="262626"/>
          <w:sz w:val="18"/>
          <w:szCs w:val="18"/>
          <w:lang w:eastAsia="zh-CN"/>
        </w:rPr>
        <w:t xml:space="preserve">. </w:t>
      </w:r>
      <w:r w:rsidRPr="00F2524C">
        <w:rPr>
          <w:rFonts w:ascii="Times New Roman" w:hAnsi="Times New Roman" w:cs="OpenSans-Semibold"/>
          <w:color w:val="262626"/>
          <w:sz w:val="18"/>
          <w:szCs w:val="18"/>
        </w:rPr>
        <w:t>Accessed November 08, 2016</w:t>
      </w:r>
      <w:r>
        <w:rPr>
          <w:rFonts w:ascii="Times New Roman" w:hAnsi="Times New Roman" w:cs="OpenSans-Semibold" w:hint="eastAsia"/>
          <w:color w:val="262626"/>
          <w:sz w:val="18"/>
          <w:szCs w:val="18"/>
          <w:lang w:eastAsia="zh-CN"/>
        </w:rPr>
        <w:t>.</w:t>
      </w:r>
    </w:p>
    <w:p w14:paraId="0E7CDCF2" w14:textId="57CABB20" w:rsidR="00493E71" w:rsidRPr="00F2524C" w:rsidRDefault="00493E71" w:rsidP="001E5E2C">
      <w:pPr>
        <w:widowControl w:val="0"/>
        <w:autoSpaceDE w:val="0"/>
        <w:autoSpaceDN w:val="0"/>
        <w:adjustRightInd w:val="0"/>
        <w:rPr>
          <w:rFonts w:ascii="Times New Roman" w:hAnsi="Times New Roman" w:cs="OpenSans-Semibold"/>
          <w:color w:val="262626"/>
          <w:sz w:val="18"/>
          <w:szCs w:val="18"/>
          <w:lang w:eastAsia="zh-CN"/>
        </w:rPr>
      </w:pPr>
      <w:r>
        <w:rPr>
          <w:rFonts w:ascii="Times New Roman" w:hAnsi="Times New Roman" w:cs="OpenSans-Semibold" w:hint="eastAsia"/>
          <w:color w:val="262626"/>
          <w:sz w:val="18"/>
          <w:szCs w:val="18"/>
          <w:lang w:eastAsia="zh-CN"/>
        </w:rPr>
        <w:t xml:space="preserve">        </w:t>
      </w:r>
      <w:r w:rsidRPr="00F2524C">
        <w:rPr>
          <w:rFonts w:ascii="Times New Roman" w:hAnsi="Times New Roman" w:cs="OpenSans-Semibold"/>
          <w:color w:val="262626"/>
          <w:sz w:val="18"/>
          <w:szCs w:val="18"/>
        </w:rPr>
        <w:t xml:space="preserve"> </w:t>
      </w:r>
      <w:hyperlink r:id="rId19" w:history="1">
        <w:r w:rsidRPr="00F2524C">
          <w:rPr>
            <w:rStyle w:val="Hyperlink"/>
            <w:rFonts w:ascii="Times New Roman" w:hAnsi="Times New Roman" w:cs="OpenSans-Semibold"/>
            <w:sz w:val="18"/>
            <w:szCs w:val="18"/>
          </w:rPr>
          <w:t>https://www.moodys.com/research/Moodys-concludes-reviews-for-9-US-Baa-rated-EP-companies--PR_344095</w:t>
        </w:r>
      </w:hyperlink>
    </w:p>
    <w:p w14:paraId="7509ADB8" w14:textId="77777777" w:rsidR="00493E71" w:rsidRDefault="00493E71" w:rsidP="001E5E2C">
      <w:pPr>
        <w:pStyle w:val="FootnoteText"/>
      </w:pPr>
    </w:p>
  </w:footnote>
  <w:footnote w:id="20">
    <w:p w14:paraId="6F9D745E" w14:textId="77777777" w:rsidR="00493E71" w:rsidRPr="00493E71" w:rsidRDefault="00493E71" w:rsidP="00D06F6E">
      <w:pPr>
        <w:pStyle w:val="FootnoteText"/>
        <w:rPr>
          <w:sz w:val="18"/>
          <w:szCs w:val="18"/>
        </w:rPr>
      </w:pPr>
      <w:r>
        <w:rPr>
          <w:rStyle w:val="FootnoteReference"/>
        </w:rPr>
        <w:footnoteRef/>
      </w:r>
      <w:r>
        <w:t xml:space="preserve"> </w:t>
      </w:r>
      <w:r w:rsidRPr="00493E71">
        <w:rPr>
          <w:sz w:val="18"/>
          <w:szCs w:val="18"/>
        </w:rPr>
        <w:t xml:space="preserve">Finra, </w:t>
      </w:r>
      <w:r w:rsidRPr="00493E71">
        <w:rPr>
          <w:bCs/>
          <w:sz w:val="18"/>
          <w:szCs w:val="18"/>
        </w:rPr>
        <w:t>OMEGA HEALTHCARE INVS INC, Assessed on Nov 8</w:t>
      </w:r>
      <w:r w:rsidRPr="00493E71">
        <w:rPr>
          <w:bCs/>
          <w:sz w:val="18"/>
          <w:szCs w:val="18"/>
          <w:vertAlign w:val="superscript"/>
        </w:rPr>
        <w:t>th</w:t>
      </w:r>
      <w:r w:rsidRPr="00493E71">
        <w:rPr>
          <w:bCs/>
          <w:sz w:val="18"/>
          <w:szCs w:val="18"/>
        </w:rPr>
        <w:t>, 2016</w:t>
      </w:r>
    </w:p>
    <w:p w14:paraId="06861C62" w14:textId="77777777" w:rsidR="00493E71" w:rsidRDefault="00346D6B" w:rsidP="00D06F6E">
      <w:pPr>
        <w:pStyle w:val="FootnoteText"/>
      </w:pPr>
      <w:hyperlink r:id="rId20" w:history="1">
        <w:r w:rsidR="00493E71" w:rsidRPr="00493E71">
          <w:rPr>
            <w:rStyle w:val="Hyperlink"/>
            <w:sz w:val="18"/>
            <w:szCs w:val="18"/>
          </w:rPr>
          <w:t>http://finra-markets.morningstar.com/BondCenter/BondDetail.jsp?ticker=C581919&amp;symbol=OHI3891158</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A51DB" w14:textId="0F3470C7" w:rsidR="00493E71" w:rsidRDefault="00493E71" w:rsidP="00493E71">
    <w:pPr>
      <w:pStyle w:val="Header"/>
      <w:jc w:val="right"/>
    </w:pPr>
    <w:r>
      <w:t>Survival Bond Project</w:t>
    </w:r>
  </w:p>
  <w:p w14:paraId="261859A9" w14:textId="77777777" w:rsidR="00493E71" w:rsidRDefault="00493E71" w:rsidP="00493E71">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E2C"/>
    <w:rsid w:val="001E5E2C"/>
    <w:rsid w:val="002306F7"/>
    <w:rsid w:val="00244DD7"/>
    <w:rsid w:val="002B29B7"/>
    <w:rsid w:val="00346D6B"/>
    <w:rsid w:val="00493E71"/>
    <w:rsid w:val="004A67C9"/>
    <w:rsid w:val="00635A41"/>
    <w:rsid w:val="0066443F"/>
    <w:rsid w:val="00670834"/>
    <w:rsid w:val="00786D83"/>
    <w:rsid w:val="0081611D"/>
    <w:rsid w:val="00974B43"/>
    <w:rsid w:val="00A43BF0"/>
    <w:rsid w:val="00CA6F67"/>
    <w:rsid w:val="00D06F6E"/>
    <w:rsid w:val="00D62B76"/>
    <w:rsid w:val="00DF037C"/>
    <w:rsid w:val="00F139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A5FC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E2C"/>
    <w:rPr>
      <w:color w:val="0000FF" w:themeColor="hyperlink"/>
      <w:u w:val="single"/>
    </w:rPr>
  </w:style>
  <w:style w:type="paragraph" w:styleId="FootnoteText">
    <w:name w:val="footnote text"/>
    <w:basedOn w:val="Normal"/>
    <w:link w:val="FootnoteTextChar"/>
    <w:uiPriority w:val="99"/>
    <w:unhideWhenUsed/>
    <w:rsid w:val="001E5E2C"/>
    <w:rPr>
      <w:rFonts w:eastAsiaTheme="minorHAnsi"/>
    </w:rPr>
  </w:style>
  <w:style w:type="character" w:customStyle="1" w:styleId="FootnoteTextChar">
    <w:name w:val="Footnote Text Char"/>
    <w:basedOn w:val="DefaultParagraphFont"/>
    <w:link w:val="FootnoteText"/>
    <w:uiPriority w:val="99"/>
    <w:rsid w:val="001E5E2C"/>
    <w:rPr>
      <w:rFonts w:eastAsiaTheme="minorHAnsi"/>
    </w:rPr>
  </w:style>
  <w:style w:type="character" w:styleId="FootnoteReference">
    <w:name w:val="footnote reference"/>
    <w:basedOn w:val="DefaultParagraphFont"/>
    <w:uiPriority w:val="99"/>
    <w:unhideWhenUsed/>
    <w:rsid w:val="001E5E2C"/>
    <w:rPr>
      <w:vertAlign w:val="superscript"/>
    </w:rPr>
  </w:style>
  <w:style w:type="paragraph" w:styleId="BalloonText">
    <w:name w:val="Balloon Text"/>
    <w:basedOn w:val="Normal"/>
    <w:link w:val="BalloonTextChar"/>
    <w:uiPriority w:val="99"/>
    <w:semiHidden/>
    <w:unhideWhenUsed/>
    <w:rsid w:val="001E5E2C"/>
    <w:rPr>
      <w:rFonts w:ascii="Lucida Grande" w:hAnsi="Lucida Grande"/>
      <w:sz w:val="18"/>
      <w:szCs w:val="18"/>
    </w:rPr>
  </w:style>
  <w:style w:type="character" w:customStyle="1" w:styleId="BalloonTextChar">
    <w:name w:val="Balloon Text Char"/>
    <w:basedOn w:val="DefaultParagraphFont"/>
    <w:link w:val="BalloonText"/>
    <w:uiPriority w:val="99"/>
    <w:semiHidden/>
    <w:rsid w:val="001E5E2C"/>
    <w:rPr>
      <w:rFonts w:ascii="Lucida Grande" w:hAnsi="Lucida Grande"/>
      <w:sz w:val="18"/>
      <w:szCs w:val="18"/>
    </w:rPr>
  </w:style>
  <w:style w:type="character" w:styleId="FollowedHyperlink">
    <w:name w:val="FollowedHyperlink"/>
    <w:basedOn w:val="DefaultParagraphFont"/>
    <w:uiPriority w:val="99"/>
    <w:semiHidden/>
    <w:unhideWhenUsed/>
    <w:rsid w:val="00786D83"/>
    <w:rPr>
      <w:color w:val="800080" w:themeColor="followedHyperlink"/>
      <w:u w:val="single"/>
    </w:rPr>
  </w:style>
  <w:style w:type="paragraph" w:styleId="Header">
    <w:name w:val="header"/>
    <w:basedOn w:val="Normal"/>
    <w:link w:val="HeaderChar"/>
    <w:uiPriority w:val="99"/>
    <w:unhideWhenUsed/>
    <w:rsid w:val="0081611D"/>
    <w:pPr>
      <w:tabs>
        <w:tab w:val="center" w:pos="4320"/>
        <w:tab w:val="right" w:pos="8640"/>
      </w:tabs>
    </w:pPr>
  </w:style>
  <w:style w:type="character" w:customStyle="1" w:styleId="HeaderChar">
    <w:name w:val="Header Char"/>
    <w:basedOn w:val="DefaultParagraphFont"/>
    <w:link w:val="Header"/>
    <w:uiPriority w:val="99"/>
    <w:rsid w:val="0081611D"/>
  </w:style>
  <w:style w:type="paragraph" w:styleId="Footer">
    <w:name w:val="footer"/>
    <w:basedOn w:val="Normal"/>
    <w:link w:val="FooterChar"/>
    <w:uiPriority w:val="99"/>
    <w:unhideWhenUsed/>
    <w:rsid w:val="0081611D"/>
    <w:pPr>
      <w:tabs>
        <w:tab w:val="center" w:pos="4320"/>
        <w:tab w:val="right" w:pos="8640"/>
      </w:tabs>
    </w:pPr>
  </w:style>
  <w:style w:type="character" w:customStyle="1" w:styleId="FooterChar">
    <w:name w:val="Footer Char"/>
    <w:basedOn w:val="DefaultParagraphFont"/>
    <w:link w:val="Footer"/>
    <w:uiPriority w:val="99"/>
    <w:rsid w:val="0081611D"/>
  </w:style>
  <w:style w:type="character" w:styleId="PageNumber">
    <w:name w:val="page number"/>
    <w:basedOn w:val="DefaultParagraphFont"/>
    <w:uiPriority w:val="99"/>
    <w:semiHidden/>
    <w:unhideWhenUsed/>
    <w:rsid w:val="00493E7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E2C"/>
    <w:rPr>
      <w:color w:val="0000FF" w:themeColor="hyperlink"/>
      <w:u w:val="single"/>
    </w:rPr>
  </w:style>
  <w:style w:type="paragraph" w:styleId="FootnoteText">
    <w:name w:val="footnote text"/>
    <w:basedOn w:val="Normal"/>
    <w:link w:val="FootnoteTextChar"/>
    <w:uiPriority w:val="99"/>
    <w:unhideWhenUsed/>
    <w:rsid w:val="001E5E2C"/>
    <w:rPr>
      <w:rFonts w:eastAsiaTheme="minorHAnsi"/>
    </w:rPr>
  </w:style>
  <w:style w:type="character" w:customStyle="1" w:styleId="FootnoteTextChar">
    <w:name w:val="Footnote Text Char"/>
    <w:basedOn w:val="DefaultParagraphFont"/>
    <w:link w:val="FootnoteText"/>
    <w:uiPriority w:val="99"/>
    <w:rsid w:val="001E5E2C"/>
    <w:rPr>
      <w:rFonts w:eastAsiaTheme="minorHAnsi"/>
    </w:rPr>
  </w:style>
  <w:style w:type="character" w:styleId="FootnoteReference">
    <w:name w:val="footnote reference"/>
    <w:basedOn w:val="DefaultParagraphFont"/>
    <w:uiPriority w:val="99"/>
    <w:unhideWhenUsed/>
    <w:rsid w:val="001E5E2C"/>
    <w:rPr>
      <w:vertAlign w:val="superscript"/>
    </w:rPr>
  </w:style>
  <w:style w:type="paragraph" w:styleId="BalloonText">
    <w:name w:val="Balloon Text"/>
    <w:basedOn w:val="Normal"/>
    <w:link w:val="BalloonTextChar"/>
    <w:uiPriority w:val="99"/>
    <w:semiHidden/>
    <w:unhideWhenUsed/>
    <w:rsid w:val="001E5E2C"/>
    <w:rPr>
      <w:rFonts w:ascii="Lucida Grande" w:hAnsi="Lucida Grande"/>
      <w:sz w:val="18"/>
      <w:szCs w:val="18"/>
    </w:rPr>
  </w:style>
  <w:style w:type="character" w:customStyle="1" w:styleId="BalloonTextChar">
    <w:name w:val="Balloon Text Char"/>
    <w:basedOn w:val="DefaultParagraphFont"/>
    <w:link w:val="BalloonText"/>
    <w:uiPriority w:val="99"/>
    <w:semiHidden/>
    <w:rsid w:val="001E5E2C"/>
    <w:rPr>
      <w:rFonts w:ascii="Lucida Grande" w:hAnsi="Lucida Grande"/>
      <w:sz w:val="18"/>
      <w:szCs w:val="18"/>
    </w:rPr>
  </w:style>
  <w:style w:type="character" w:styleId="FollowedHyperlink">
    <w:name w:val="FollowedHyperlink"/>
    <w:basedOn w:val="DefaultParagraphFont"/>
    <w:uiPriority w:val="99"/>
    <w:semiHidden/>
    <w:unhideWhenUsed/>
    <w:rsid w:val="00786D83"/>
    <w:rPr>
      <w:color w:val="800080" w:themeColor="followedHyperlink"/>
      <w:u w:val="single"/>
    </w:rPr>
  </w:style>
  <w:style w:type="paragraph" w:styleId="Header">
    <w:name w:val="header"/>
    <w:basedOn w:val="Normal"/>
    <w:link w:val="HeaderChar"/>
    <w:uiPriority w:val="99"/>
    <w:unhideWhenUsed/>
    <w:rsid w:val="0081611D"/>
    <w:pPr>
      <w:tabs>
        <w:tab w:val="center" w:pos="4320"/>
        <w:tab w:val="right" w:pos="8640"/>
      </w:tabs>
    </w:pPr>
  </w:style>
  <w:style w:type="character" w:customStyle="1" w:styleId="HeaderChar">
    <w:name w:val="Header Char"/>
    <w:basedOn w:val="DefaultParagraphFont"/>
    <w:link w:val="Header"/>
    <w:uiPriority w:val="99"/>
    <w:rsid w:val="0081611D"/>
  </w:style>
  <w:style w:type="paragraph" w:styleId="Footer">
    <w:name w:val="footer"/>
    <w:basedOn w:val="Normal"/>
    <w:link w:val="FooterChar"/>
    <w:uiPriority w:val="99"/>
    <w:unhideWhenUsed/>
    <w:rsid w:val="0081611D"/>
    <w:pPr>
      <w:tabs>
        <w:tab w:val="center" w:pos="4320"/>
        <w:tab w:val="right" w:pos="8640"/>
      </w:tabs>
    </w:pPr>
  </w:style>
  <w:style w:type="character" w:customStyle="1" w:styleId="FooterChar">
    <w:name w:val="Footer Char"/>
    <w:basedOn w:val="DefaultParagraphFont"/>
    <w:link w:val="Footer"/>
    <w:uiPriority w:val="99"/>
    <w:rsid w:val="0081611D"/>
  </w:style>
  <w:style w:type="character" w:styleId="PageNumber">
    <w:name w:val="page number"/>
    <w:basedOn w:val="DefaultParagraphFont"/>
    <w:uiPriority w:val="99"/>
    <w:semiHidden/>
    <w:unhideWhenUsed/>
    <w:rsid w:val="00493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9" Type="http://schemas.openxmlformats.org/officeDocument/2006/relationships/hyperlink" Target="http://finance.yahoo.com/quote/NBL/key-statistics?p=NBL" TargetMode="External"/><Relationship Id="rId20" Type="http://schemas.openxmlformats.org/officeDocument/2006/relationships/hyperlink" Target="http://finra-markets.morningstar.com/BondCenter/BondDetail.jsp?ticker=C581919&amp;symbol=OHI3891158" TargetMode="External"/><Relationship Id="rId10" Type="http://schemas.openxmlformats.org/officeDocument/2006/relationships/hyperlink" Target="https://finance.yahoo.com/quote/APC/key-statistics?p=APC" TargetMode="External"/><Relationship Id="rId11" Type="http://schemas.openxmlformats.org/officeDocument/2006/relationships/hyperlink" Target="http://finance.yahoo.com/quote/NBL/key-statistics?p=NBL" TargetMode="External"/><Relationship Id="rId12" Type="http://schemas.openxmlformats.org/officeDocument/2006/relationships/hyperlink" Target="https://finance.yahoo.com/quote/APC/key-statistics?p=APC" TargetMode="External"/><Relationship Id="rId13" Type="http://schemas.openxmlformats.org/officeDocument/2006/relationships/hyperlink" Target="http://finance.yahoo.com/quote/NBL/financials?p=NBL" TargetMode="External"/><Relationship Id="rId14" Type="http://schemas.openxmlformats.org/officeDocument/2006/relationships/hyperlink" Target="https://finance.yahoo.com/quote/APC/financials?p=APC" TargetMode="External"/><Relationship Id="rId15" Type="http://schemas.openxmlformats.org/officeDocument/2006/relationships/hyperlink" Target="https://www.sec.gov/Archives/edgar/data/72207/000119312515254968/d943440d424b3.htm" TargetMode="External"/><Relationship Id="rId16" Type="http://schemas.openxmlformats.org/officeDocument/2006/relationships/hyperlink" Target="https://www.sec.gov/Archives/edgar/data/72207/000119312515254968/d943440d424b3.htm" TargetMode="External"/><Relationship Id="rId17" Type="http://schemas.openxmlformats.org/officeDocument/2006/relationships/hyperlink" Target="https://www.sec.gov/Archives/edgar/data/72207/000119312515254968/d943440d424b3.htm" TargetMode="External"/><Relationship Id="rId18" Type="http://schemas.openxmlformats.org/officeDocument/2006/relationships/hyperlink" Target="http://finra-markets.morningstar.com/BondCenter/BondDetail.jsp?ticker=C635837&amp;symbol=NBL4274735" TargetMode="External"/><Relationship Id="rId19" Type="http://schemas.openxmlformats.org/officeDocument/2006/relationships/hyperlink" Target="https://www.moodys.com/research/Moodys-concludes-reviews-for-9-US-Baa-rated-EP-companies--PR_344095" TargetMode="External"/><Relationship Id="rId1" Type="http://schemas.openxmlformats.org/officeDocument/2006/relationships/hyperlink" Target="http://www.nobleenergyinc.com/about-us/our-value-50.html" TargetMode="External"/><Relationship Id="rId2" Type="http://schemas.openxmlformats.org/officeDocument/2006/relationships/hyperlink" Target="http://www.mergentonline.com.proxy2.library.illinois.edu/companyfinancials.php?pagetype=ratios&amp;compnumber=6052" TargetMode="External"/><Relationship Id="rId3" Type="http://schemas.openxmlformats.org/officeDocument/2006/relationships/hyperlink" Target="http://www.nobleenergyinc.com/fw/main/Our-Value-50.html" TargetMode="External"/><Relationship Id="rId4" Type="http://schemas.openxmlformats.org/officeDocument/2006/relationships/hyperlink" Target="http://www.nobleenergyinc.com/about-us/our-mission-68.html" TargetMode="External"/><Relationship Id="rId5" Type="http://schemas.openxmlformats.org/officeDocument/2006/relationships/hyperlink" Target="http://responsibility.nobleenergyinc.com/performance-data/" TargetMode="External"/><Relationship Id="rId6" Type="http://schemas.openxmlformats.org/officeDocument/2006/relationships/hyperlink" Target="http://finance.yahoo.com/quote/NBL/financials?p=NBL" TargetMode="External"/><Relationship Id="rId7" Type="http://schemas.openxmlformats.org/officeDocument/2006/relationships/hyperlink" Target="http://finance.yahoo.com/quote/NBL/financials?p=NBL" TargetMode="External"/><Relationship Id="rId8" Type="http://schemas.openxmlformats.org/officeDocument/2006/relationships/hyperlink" Target="http://finance.yahoo.com/quote/NBL?p=NB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2257</Words>
  <Characters>12866</Characters>
  <Application>Microsoft Macintosh Word</Application>
  <DocSecurity>0</DocSecurity>
  <Lines>107</Lines>
  <Paragraphs>30</Paragraphs>
  <ScaleCrop>false</ScaleCrop>
  <Company/>
  <LinksUpToDate>false</LinksUpToDate>
  <CharactersWithSpaces>15093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suisse</dc:creator>
  <cp:keywords/>
  <dc:description/>
  <cp:lastModifiedBy>Zhao suisse</cp:lastModifiedBy>
  <cp:revision>6</cp:revision>
  <cp:lastPrinted>2016-11-09T06:43:00Z</cp:lastPrinted>
  <dcterms:created xsi:type="dcterms:W3CDTF">2016-11-09T03:56:00Z</dcterms:created>
  <dcterms:modified xsi:type="dcterms:W3CDTF">2016-11-09T06:46:00Z</dcterms:modified>
</cp:coreProperties>
</file>