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B614C" w14:textId="0B028CBF" w:rsidR="00357EF7" w:rsidRPr="003B1856" w:rsidRDefault="00EA68E2" w:rsidP="00357EF7">
      <w:r w:rsidRPr="00EA68E2">
        <w:rPr>
          <w:b/>
        </w:rPr>
        <w:t>Question 1:</w:t>
      </w:r>
      <w:r>
        <w:t xml:space="preserve"> </w:t>
      </w:r>
      <w:r w:rsidR="00393EA4">
        <w:t>What were the</w:t>
      </w:r>
      <w:r w:rsidR="00774DE5">
        <w:t xml:space="preserve"> sales for each Genre in</w:t>
      </w:r>
      <w:r w:rsidR="00CC6A4A">
        <w:t xml:space="preserve"> France</w:t>
      </w:r>
      <w:r w:rsidR="00774DE5">
        <w:t xml:space="preserve">? </w:t>
      </w:r>
      <w:r>
        <w:t>What was the percentage contribution for each Genre</w:t>
      </w:r>
      <w:r w:rsidR="00774DE5">
        <w:t>?</w:t>
      </w:r>
      <w:r w:rsidR="0029414F">
        <w:t xml:space="preserve"> </w:t>
      </w:r>
      <w:r w:rsidR="0029414F" w:rsidRPr="004224A9">
        <w:rPr>
          <w:b/>
        </w:rPr>
        <w:t>(SQL 1)</w:t>
      </w:r>
      <w:proofErr w:type="gramStart"/>
      <w:r w:rsidR="003B1856">
        <w:rPr>
          <w:b/>
        </w:rPr>
        <w:t>;</w:t>
      </w:r>
      <w:proofErr w:type="gramEnd"/>
      <w:r w:rsidR="003B1856">
        <w:t xml:space="preserve"> </w:t>
      </w:r>
      <w:r w:rsidR="0029414F">
        <w:t>How do the Genre sales compare with each other?</w:t>
      </w:r>
      <w:r w:rsidR="00774DE5">
        <w:t xml:space="preserve"> </w:t>
      </w:r>
      <w:r w:rsidR="0029414F" w:rsidRPr="004224A9">
        <w:rPr>
          <w:b/>
        </w:rPr>
        <w:t>(SQL 2)</w:t>
      </w:r>
    </w:p>
    <w:p w14:paraId="7C33A778" w14:textId="0F973B61" w:rsidR="00EA68E2" w:rsidRDefault="00EA68E2"/>
    <w:p w14:paraId="0FC28C22" w14:textId="701BCD9E" w:rsidR="00244150" w:rsidRDefault="003B1856">
      <w:r>
        <w:rPr>
          <w:noProof/>
        </w:rPr>
        <w:drawing>
          <wp:inline distT="0" distB="0" distL="0" distR="0" wp14:anchorId="75AC1763" wp14:editId="3DDA9442">
            <wp:extent cx="6203950" cy="4064977"/>
            <wp:effectExtent l="50800" t="50800" r="69850" b="755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9C8546" w14:textId="51B19204" w:rsidR="00C051B4" w:rsidRPr="00C051B4" w:rsidRDefault="00C051B4">
      <w:pPr>
        <w:rPr>
          <w:b/>
        </w:rPr>
      </w:pPr>
      <w:r w:rsidRPr="00C051B4">
        <w:rPr>
          <w:b/>
        </w:rPr>
        <w:t>Figure 1.1: Genre Sales in France</w:t>
      </w:r>
    </w:p>
    <w:p w14:paraId="3586AC79" w14:textId="1055C1B3" w:rsidR="00244150" w:rsidRDefault="00244150"/>
    <w:p w14:paraId="29FD1DAA" w14:textId="44F4A723" w:rsidR="0029414F" w:rsidRDefault="00244150" w:rsidP="00357EF7">
      <w:r>
        <w:rPr>
          <w:noProof/>
        </w:rPr>
        <mc:AlternateContent>
          <mc:Choice Requires="wps">
            <w:drawing>
              <wp:anchor distT="0" distB="0" distL="114300" distR="114300" simplePos="0" relativeHeight="251663360" behindDoc="0" locked="0" layoutInCell="1" allowOverlap="1" wp14:anchorId="7805FE6E" wp14:editId="1B18742D">
                <wp:simplePos x="0" y="0"/>
                <wp:positionH relativeFrom="column">
                  <wp:posOffset>2857500</wp:posOffset>
                </wp:positionH>
                <wp:positionV relativeFrom="paragraph">
                  <wp:posOffset>44450</wp:posOffset>
                </wp:positionV>
                <wp:extent cx="4114800" cy="35433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3543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F3255" w14:textId="6E21EAA1" w:rsidR="00491D5A" w:rsidRDefault="00E869CF" w:rsidP="00244150">
                            <w:r w:rsidRPr="00E869CF">
                              <w:rPr>
                                <w:b/>
                              </w:rPr>
                              <w:t>Conclusion:</w:t>
                            </w:r>
                            <w:r>
                              <w:t xml:space="preserve"> </w:t>
                            </w:r>
                            <w:r w:rsidR="00491D5A">
                              <w:t xml:space="preserve">We can see that Rock has the highest sales out of all the other genres in France and Bossa Nova, Reggae, and Rock &amp; Roll have the lowest sale. It’s easier to see how much each genre contributes to the overall sales in France by looking at percentages. </w:t>
                            </w:r>
                          </w:p>
                          <w:p w14:paraId="441A9F86" w14:textId="77777777" w:rsidR="00491D5A" w:rsidRDefault="00491D5A" w:rsidP="00244150"/>
                          <w:p w14:paraId="4C66BDCE" w14:textId="44166119" w:rsidR="00491D5A" w:rsidRDefault="00491D5A" w:rsidP="00244150">
                            <w:r>
                              <w:t>We see that Rock makes up about 33% of the overall sales and that Bossa Nova, Reggae and Rock &amp; Roll make up .5% of the overall sales contribution. There’s a better visualization of the percentages shown in Figure 1.2.</w:t>
                            </w:r>
                          </w:p>
                          <w:p w14:paraId="191CD6CE" w14:textId="77777777" w:rsidR="00491D5A" w:rsidRDefault="00491D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25pt;margin-top:3.5pt;width:324pt;height:27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rWQNECAAAWBgAADgAAAGRycy9lMm9Eb2MueG1srFRNb9swDL0P2H8QdE9tJ07X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" filled="f" stroked="f">
                <v:textbox>
                  <w:txbxContent>
                    <w:p w14:paraId="295F3255" w14:textId="6E21EAA1" w:rsidR="00491D5A" w:rsidRDefault="00E869CF" w:rsidP="00244150">
                      <w:r w:rsidRPr="00E869CF">
                        <w:rPr>
                          <w:b/>
                        </w:rPr>
                        <w:t>Conclusion:</w:t>
                      </w:r>
                      <w:r>
                        <w:t xml:space="preserve"> </w:t>
                      </w:r>
                      <w:r w:rsidR="00491D5A">
                        <w:t xml:space="preserve">We can see that Rock has the highest sales out of all the other genres in France and Bossa Nova, Reggae, and Rock &amp; Roll have the lowest sale. It’s easier to see how much each genre contributes to the overall sales in France by looking at percentages. </w:t>
                      </w:r>
                    </w:p>
                    <w:p w14:paraId="441A9F86" w14:textId="77777777" w:rsidR="00491D5A" w:rsidRDefault="00491D5A" w:rsidP="00244150"/>
                    <w:p w14:paraId="4C66BDCE" w14:textId="44166119" w:rsidR="00491D5A" w:rsidRDefault="00491D5A" w:rsidP="00244150">
                      <w:r>
                        <w:t>We see that Rock makes up about 33% of the overall sales and that Bossa Nova, Reggae and Rock &amp; Roll make up .5% of the overall sales contribution. There’s a better visualization of the percentages shown in Figure 1.2.</w:t>
                      </w:r>
                    </w:p>
                    <w:p w14:paraId="191CD6CE" w14:textId="77777777" w:rsidR="00491D5A" w:rsidRDefault="00491D5A"/>
                  </w:txbxContent>
                </v:textbox>
                <w10:wrap type="square"/>
              </v:shape>
            </w:pict>
          </mc:Fallback>
        </mc:AlternateContent>
      </w:r>
      <w:r w:rsidR="001E66DC">
        <w:rPr>
          <w:noProof/>
        </w:rPr>
        <w:drawing>
          <wp:inline distT="0" distB="0" distL="0" distR="0" wp14:anchorId="3BE4A71C" wp14:editId="5939CEC3">
            <wp:extent cx="2400006" cy="2660922"/>
            <wp:effectExtent l="0" t="0" r="0" b="6350"/>
            <wp:docPr id="6" name="Picture 6" descr="Macintosh HD:Users:Winnie:Desktop:Screen Shot 2018-11-24 at 2.57.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innie:Desktop:Screen Shot 2018-11-24 at 2.57.3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006" cy="2660922"/>
                    </a:xfrm>
                    <a:prstGeom prst="rect">
                      <a:avLst/>
                    </a:prstGeom>
                    <a:noFill/>
                    <a:ln>
                      <a:noFill/>
                    </a:ln>
                  </pic:spPr>
                </pic:pic>
              </a:graphicData>
            </a:graphic>
          </wp:inline>
        </w:drawing>
      </w:r>
    </w:p>
    <w:p w14:paraId="395D378D" w14:textId="30ECE2A1" w:rsidR="0091037E" w:rsidRDefault="0029414F">
      <w:r>
        <w:rPr>
          <w:noProof/>
        </w:rPr>
        <w:drawing>
          <wp:inline distT="0" distB="0" distL="0" distR="0" wp14:anchorId="6B5A4E6C" wp14:editId="4D999DFE">
            <wp:extent cx="2400300" cy="889635"/>
            <wp:effectExtent l="0" t="0" r="12700" b="0"/>
            <wp:docPr id="7" name="Picture 7" descr="Macintosh HD:Users:Winnie:Desktop:Screen Shot 2018-11-24 at 2.57.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Winnie:Desktop:Screen Shot 2018-11-24 at 2.57.4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1819" cy="890198"/>
                    </a:xfrm>
                    <a:prstGeom prst="rect">
                      <a:avLst/>
                    </a:prstGeom>
                    <a:noFill/>
                    <a:ln>
                      <a:noFill/>
                    </a:ln>
                  </pic:spPr>
                </pic:pic>
              </a:graphicData>
            </a:graphic>
          </wp:inline>
        </w:drawing>
      </w:r>
      <w:r w:rsidR="00357EF7">
        <w:t xml:space="preserve">   </w:t>
      </w:r>
    </w:p>
    <w:p w14:paraId="142D9839" w14:textId="77777777" w:rsidR="00244150" w:rsidRDefault="00BD08DA">
      <w:r>
        <w:rPr>
          <w:b/>
        </w:rPr>
        <w:t>Table</w:t>
      </w:r>
      <w:r w:rsidR="00357EF7" w:rsidRPr="00357EF7">
        <w:rPr>
          <w:b/>
        </w:rPr>
        <w:t xml:space="preserve"> 1a</w:t>
      </w:r>
      <w:r w:rsidR="00357EF7">
        <w:t xml:space="preserve">: Genre Sales in France and </w:t>
      </w:r>
    </w:p>
    <w:p w14:paraId="425C8C86" w14:textId="6221983F" w:rsidR="00357EF7" w:rsidRDefault="00244150">
      <w:proofErr w:type="gramStart"/>
      <w:r>
        <w:t>its</w:t>
      </w:r>
      <w:proofErr w:type="gramEnd"/>
      <w:r w:rsidR="00357EF7">
        <w:t xml:space="preserve"> percentage sales contribution</w:t>
      </w:r>
    </w:p>
    <w:p w14:paraId="3D96BAE5" w14:textId="120986B0" w:rsidR="000A3CA1" w:rsidRDefault="000A3CA1">
      <w:r>
        <w:rPr>
          <w:noProof/>
        </w:rPr>
        <w:lastRenderedPageBreak/>
        <w:drawing>
          <wp:inline distT="0" distB="0" distL="0" distR="0" wp14:anchorId="1280CE4E" wp14:editId="3BD8DA5C">
            <wp:extent cx="6743700" cy="85725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070BA4" w14:textId="64568118" w:rsidR="003D21AF" w:rsidRPr="003D21AF" w:rsidRDefault="003D21AF">
      <w:pPr>
        <w:rPr>
          <w:b/>
        </w:rPr>
      </w:pPr>
      <w:r w:rsidRPr="003D21AF">
        <w:rPr>
          <w:b/>
        </w:rPr>
        <w:t>Figure 1.2: Percentage Contribution of Genre Sales in France</w:t>
      </w:r>
    </w:p>
    <w:p w14:paraId="7387BD1B" w14:textId="7A332E52" w:rsidR="00357EF7" w:rsidRDefault="0025727A">
      <w:r>
        <w:rPr>
          <w:noProof/>
        </w:rPr>
        <mc:AlternateContent>
          <mc:Choice Requires="wps">
            <w:drawing>
              <wp:anchor distT="0" distB="0" distL="114300" distR="114300" simplePos="0" relativeHeight="251659264" behindDoc="0" locked="0" layoutInCell="1" allowOverlap="1" wp14:anchorId="42511315" wp14:editId="53957C36">
                <wp:simplePos x="0" y="0"/>
                <wp:positionH relativeFrom="column">
                  <wp:posOffset>0</wp:posOffset>
                </wp:positionH>
                <wp:positionV relativeFrom="paragraph">
                  <wp:posOffset>49530</wp:posOffset>
                </wp:positionV>
                <wp:extent cx="6743700" cy="1664970"/>
                <wp:effectExtent l="0" t="0" r="0" b="11430"/>
                <wp:wrapSquare wrapText="bothSides"/>
                <wp:docPr id="10" name="Text Box 10"/>
                <wp:cNvGraphicFramePr/>
                <a:graphic xmlns:a="http://schemas.openxmlformats.org/drawingml/2006/main">
                  <a:graphicData uri="http://schemas.microsoft.com/office/word/2010/wordprocessingShape">
                    <wps:wsp>
                      <wps:cNvSpPr txBox="1"/>
                      <wps:spPr>
                        <a:xfrm>
                          <a:off x="0" y="0"/>
                          <a:ext cx="6743700" cy="16649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4931D3" w14:textId="0ABF1647" w:rsidR="00491D5A" w:rsidRDefault="00491D5A">
                            <w:r>
                              <w:rPr>
                                <w:noProof/>
                              </w:rPr>
                              <w:drawing>
                                <wp:inline distT="0" distB="0" distL="0" distR="0" wp14:anchorId="5FC668D3" wp14:editId="59B047FC">
                                  <wp:extent cx="1396093" cy="511115"/>
                                  <wp:effectExtent l="0" t="0" r="1270" b="0"/>
                                  <wp:docPr id="9" name="Picture 9" descr="Macintosh HD:Users:Winnie:Desktop:Screen Shot 2018-11-24 at 3.43.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Winnie:Desktop:Screen Shot 2018-11-24 at 3.43.1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6093" cy="511115"/>
                                          </a:xfrm>
                                          <a:prstGeom prst="rect">
                                            <a:avLst/>
                                          </a:prstGeom>
                                          <a:noFill/>
                                          <a:ln>
                                            <a:noFill/>
                                          </a:ln>
                                        </pic:spPr>
                                      </pic:pic>
                                    </a:graphicData>
                                  </a:graphic>
                                </wp:inline>
                              </w:drawing>
                            </w:r>
                          </w:p>
                          <w:p w14:paraId="5AC66683" w14:textId="2FC4025E" w:rsidR="00491D5A" w:rsidRDefault="00491D5A">
                            <w:r>
                              <w:rPr>
                                <w:b/>
                              </w:rPr>
                              <w:t>Table</w:t>
                            </w:r>
                            <w:r w:rsidRPr="00357EF7">
                              <w:rPr>
                                <w:b/>
                              </w:rPr>
                              <w:t xml:space="preserve"> 1b:</w:t>
                            </w:r>
                            <w:r>
                              <w:t xml:space="preserve"> Average of all Genre Sales</w:t>
                            </w:r>
                          </w:p>
                          <w:p w14:paraId="51D2EA98" w14:textId="77777777" w:rsidR="00491D5A" w:rsidRDefault="00491D5A" w:rsidP="00357EF7"/>
                          <w:p w14:paraId="237EBA96" w14:textId="77777777" w:rsidR="00491D5A" w:rsidRDefault="00491D5A" w:rsidP="00357EF7"/>
                          <w:p w14:paraId="4EF2C095" w14:textId="4410EE79" w:rsidR="00491D5A" w:rsidRDefault="00491D5A" w:rsidP="00357EF7">
                            <w:r>
                              <w:t>The average of the overall genre sales in France is about $10.84. We see that only 5 out of the 18 genres have sales above the average, which are: Rock, Alternative &amp; Punk, Latin, Metal and Jazz.</w:t>
                            </w:r>
                          </w:p>
                          <w:p w14:paraId="54B21594" w14:textId="77777777" w:rsidR="00491D5A" w:rsidRDefault="00491D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0;margin-top:3.9pt;width:531pt;height:13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" filled="f" stroked="f">
                <v:textbox>
                  <w:txbxContent>
                    <w:p w14:paraId="6A4931D3" w14:textId="0ABF1647" w:rsidR="00491D5A" w:rsidRDefault="00491D5A">
                      <w:r>
                        <w:rPr>
                          <w:noProof/>
                        </w:rPr>
                        <w:drawing>
                          <wp:inline distT="0" distB="0" distL="0" distR="0" wp14:anchorId="5FC668D3" wp14:editId="59B047FC">
                            <wp:extent cx="1396093" cy="511115"/>
                            <wp:effectExtent l="0" t="0" r="1270" b="0"/>
                            <wp:docPr id="9" name="Picture 9" descr="Macintosh HD:Users:Winnie:Desktop:Screen Shot 2018-11-24 at 3.43.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Winnie:Desktop:Screen Shot 2018-11-24 at 3.43.1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6093" cy="511115"/>
                                    </a:xfrm>
                                    <a:prstGeom prst="rect">
                                      <a:avLst/>
                                    </a:prstGeom>
                                    <a:noFill/>
                                    <a:ln>
                                      <a:noFill/>
                                    </a:ln>
                                  </pic:spPr>
                                </pic:pic>
                              </a:graphicData>
                            </a:graphic>
                          </wp:inline>
                        </w:drawing>
                      </w:r>
                    </w:p>
                    <w:p w14:paraId="5AC66683" w14:textId="2FC4025E" w:rsidR="00491D5A" w:rsidRDefault="00491D5A">
                      <w:r>
                        <w:rPr>
                          <w:b/>
                        </w:rPr>
                        <w:t>Table</w:t>
                      </w:r>
                      <w:r w:rsidRPr="00357EF7">
                        <w:rPr>
                          <w:b/>
                        </w:rPr>
                        <w:t xml:space="preserve"> 1b:</w:t>
                      </w:r>
                      <w:r>
                        <w:t xml:space="preserve"> Average of all Genre Sales</w:t>
                      </w:r>
                    </w:p>
                    <w:p w14:paraId="51D2EA98" w14:textId="77777777" w:rsidR="00491D5A" w:rsidRDefault="00491D5A" w:rsidP="00357EF7"/>
                    <w:p w14:paraId="237EBA96" w14:textId="77777777" w:rsidR="00491D5A" w:rsidRDefault="00491D5A" w:rsidP="00357EF7"/>
                    <w:p w14:paraId="4EF2C095" w14:textId="4410EE79" w:rsidR="00491D5A" w:rsidRDefault="00491D5A" w:rsidP="00357EF7">
                      <w:r>
                        <w:t>The average of the overall genre sales in France is about $10.84. We see that only 5 out of the 18 genres have sales above the average, which are: Rock, Alternative &amp; Punk, Latin, Metal and Jazz.</w:t>
                      </w:r>
                    </w:p>
                    <w:p w14:paraId="54B21594" w14:textId="77777777" w:rsidR="00491D5A" w:rsidRDefault="00491D5A"/>
                  </w:txbxContent>
                </v:textbox>
                <w10:wrap type="square"/>
              </v:shape>
            </w:pict>
          </mc:Fallback>
        </mc:AlternateContent>
      </w:r>
    </w:p>
    <w:p w14:paraId="17832EFD" w14:textId="77777777" w:rsidR="00357EF7" w:rsidRDefault="00357EF7"/>
    <w:p w14:paraId="1EAE6C90" w14:textId="77777777" w:rsidR="00357EF7" w:rsidRDefault="00357EF7"/>
    <w:p w14:paraId="28CAFEBB" w14:textId="77777777" w:rsidR="0082501B" w:rsidRDefault="0082501B">
      <w:pPr>
        <w:rPr>
          <w:b/>
        </w:rPr>
      </w:pPr>
    </w:p>
    <w:p w14:paraId="0E9B20FB" w14:textId="77777777" w:rsidR="0082501B" w:rsidRDefault="0082501B">
      <w:pPr>
        <w:rPr>
          <w:b/>
        </w:rPr>
      </w:pPr>
    </w:p>
    <w:p w14:paraId="704CF6E0" w14:textId="77777777" w:rsidR="0082501B" w:rsidRDefault="0082501B">
      <w:pPr>
        <w:rPr>
          <w:b/>
        </w:rPr>
      </w:pPr>
    </w:p>
    <w:p w14:paraId="53A7EA55" w14:textId="77777777" w:rsidR="0082501B" w:rsidRDefault="0082501B">
      <w:pPr>
        <w:rPr>
          <w:b/>
        </w:rPr>
      </w:pPr>
    </w:p>
    <w:p w14:paraId="6BD59B90" w14:textId="77777777" w:rsidR="0082501B" w:rsidRDefault="0082501B">
      <w:pPr>
        <w:rPr>
          <w:b/>
        </w:rPr>
      </w:pPr>
    </w:p>
    <w:p w14:paraId="7CBDD799" w14:textId="77777777" w:rsidR="0082501B" w:rsidRDefault="0082501B">
      <w:pPr>
        <w:rPr>
          <w:b/>
        </w:rPr>
      </w:pPr>
    </w:p>
    <w:p w14:paraId="1A050531" w14:textId="77777777" w:rsidR="0082501B" w:rsidRDefault="0082501B">
      <w:pPr>
        <w:rPr>
          <w:b/>
        </w:rPr>
      </w:pPr>
    </w:p>
    <w:p w14:paraId="4DA4DEF9" w14:textId="77777777" w:rsidR="0082501B" w:rsidRDefault="0082501B">
      <w:pPr>
        <w:rPr>
          <w:b/>
        </w:rPr>
      </w:pPr>
    </w:p>
    <w:p w14:paraId="490ADCCF" w14:textId="77777777" w:rsidR="0082501B" w:rsidRDefault="0082501B">
      <w:pPr>
        <w:rPr>
          <w:b/>
        </w:rPr>
      </w:pPr>
    </w:p>
    <w:p w14:paraId="40C5CFAF" w14:textId="77777777" w:rsidR="0082501B" w:rsidRDefault="0082501B">
      <w:pPr>
        <w:rPr>
          <w:b/>
        </w:rPr>
      </w:pPr>
    </w:p>
    <w:p w14:paraId="7FBD4848" w14:textId="77777777" w:rsidR="0082501B" w:rsidRDefault="0082501B">
      <w:pPr>
        <w:rPr>
          <w:b/>
        </w:rPr>
      </w:pPr>
    </w:p>
    <w:p w14:paraId="1B8AFEF3" w14:textId="77777777" w:rsidR="0082501B" w:rsidRDefault="0082501B">
      <w:pPr>
        <w:rPr>
          <w:b/>
        </w:rPr>
      </w:pPr>
    </w:p>
    <w:p w14:paraId="3E636F71" w14:textId="77777777" w:rsidR="0082501B" w:rsidRDefault="0082501B">
      <w:pPr>
        <w:rPr>
          <w:b/>
        </w:rPr>
      </w:pPr>
    </w:p>
    <w:p w14:paraId="07B7209D" w14:textId="77777777" w:rsidR="0082501B" w:rsidRDefault="0082501B">
      <w:pPr>
        <w:rPr>
          <w:b/>
        </w:rPr>
      </w:pPr>
    </w:p>
    <w:p w14:paraId="176AE35B" w14:textId="77777777" w:rsidR="0082501B" w:rsidRDefault="0082501B">
      <w:pPr>
        <w:rPr>
          <w:b/>
        </w:rPr>
      </w:pPr>
    </w:p>
    <w:p w14:paraId="7AA0D5FF" w14:textId="77777777" w:rsidR="0082501B" w:rsidRDefault="0082501B">
      <w:pPr>
        <w:rPr>
          <w:b/>
        </w:rPr>
      </w:pPr>
    </w:p>
    <w:p w14:paraId="073EA3D5" w14:textId="77777777" w:rsidR="0082501B" w:rsidRDefault="0082501B">
      <w:pPr>
        <w:rPr>
          <w:b/>
        </w:rPr>
      </w:pPr>
    </w:p>
    <w:p w14:paraId="091FD02A" w14:textId="77777777" w:rsidR="0082501B" w:rsidRDefault="0082501B">
      <w:pPr>
        <w:rPr>
          <w:b/>
        </w:rPr>
      </w:pPr>
    </w:p>
    <w:p w14:paraId="24818E10" w14:textId="77777777" w:rsidR="0082501B" w:rsidRDefault="0082501B">
      <w:pPr>
        <w:rPr>
          <w:b/>
        </w:rPr>
      </w:pPr>
    </w:p>
    <w:p w14:paraId="1933B523" w14:textId="77777777" w:rsidR="0082501B" w:rsidRDefault="0082501B">
      <w:pPr>
        <w:rPr>
          <w:b/>
        </w:rPr>
      </w:pPr>
    </w:p>
    <w:p w14:paraId="6FB8B177" w14:textId="77777777" w:rsidR="0082501B" w:rsidRDefault="0082501B">
      <w:pPr>
        <w:rPr>
          <w:b/>
        </w:rPr>
      </w:pPr>
    </w:p>
    <w:p w14:paraId="1B7D1373" w14:textId="77777777" w:rsidR="0082501B" w:rsidRDefault="0082501B">
      <w:pPr>
        <w:rPr>
          <w:b/>
        </w:rPr>
      </w:pPr>
    </w:p>
    <w:p w14:paraId="285FE7F0" w14:textId="77777777" w:rsidR="0082501B" w:rsidRDefault="0082501B">
      <w:pPr>
        <w:rPr>
          <w:b/>
        </w:rPr>
      </w:pPr>
    </w:p>
    <w:p w14:paraId="0251AEC5" w14:textId="77777777" w:rsidR="0082501B" w:rsidRDefault="0082501B">
      <w:pPr>
        <w:rPr>
          <w:b/>
        </w:rPr>
      </w:pPr>
    </w:p>
    <w:p w14:paraId="12AA611C" w14:textId="77777777" w:rsidR="0082501B" w:rsidRDefault="0082501B">
      <w:pPr>
        <w:rPr>
          <w:b/>
        </w:rPr>
      </w:pPr>
    </w:p>
    <w:p w14:paraId="2D5C22BA" w14:textId="77777777" w:rsidR="0082501B" w:rsidRDefault="0082501B">
      <w:pPr>
        <w:rPr>
          <w:b/>
        </w:rPr>
      </w:pPr>
    </w:p>
    <w:p w14:paraId="42AD02DA" w14:textId="77777777" w:rsidR="0082501B" w:rsidRDefault="0082501B">
      <w:pPr>
        <w:rPr>
          <w:b/>
        </w:rPr>
      </w:pPr>
    </w:p>
    <w:p w14:paraId="02533167" w14:textId="77777777" w:rsidR="0082501B" w:rsidRDefault="0082501B">
      <w:pPr>
        <w:rPr>
          <w:b/>
        </w:rPr>
      </w:pPr>
    </w:p>
    <w:p w14:paraId="4C9AE57A" w14:textId="77777777" w:rsidR="0082501B" w:rsidRDefault="0082501B">
      <w:pPr>
        <w:rPr>
          <w:b/>
        </w:rPr>
      </w:pPr>
    </w:p>
    <w:p w14:paraId="6D6267D7" w14:textId="77777777" w:rsidR="0082501B" w:rsidRDefault="0082501B">
      <w:pPr>
        <w:rPr>
          <w:b/>
        </w:rPr>
      </w:pPr>
    </w:p>
    <w:p w14:paraId="733690DF" w14:textId="77777777" w:rsidR="0082501B" w:rsidRDefault="0082501B">
      <w:pPr>
        <w:rPr>
          <w:b/>
        </w:rPr>
      </w:pPr>
    </w:p>
    <w:p w14:paraId="0F60BF43" w14:textId="77777777" w:rsidR="0082501B" w:rsidRDefault="0082501B">
      <w:pPr>
        <w:rPr>
          <w:b/>
        </w:rPr>
      </w:pPr>
    </w:p>
    <w:p w14:paraId="0D9637BF" w14:textId="77777777" w:rsidR="0082501B" w:rsidRDefault="0082501B">
      <w:pPr>
        <w:rPr>
          <w:b/>
        </w:rPr>
      </w:pPr>
    </w:p>
    <w:p w14:paraId="56E55C06" w14:textId="77777777" w:rsidR="0082501B" w:rsidRDefault="0082501B">
      <w:pPr>
        <w:rPr>
          <w:b/>
        </w:rPr>
      </w:pPr>
    </w:p>
    <w:p w14:paraId="38083084" w14:textId="77777777" w:rsidR="0082501B" w:rsidRDefault="0082501B">
      <w:pPr>
        <w:rPr>
          <w:b/>
        </w:rPr>
      </w:pPr>
    </w:p>
    <w:p w14:paraId="2D3A05BB" w14:textId="77777777" w:rsidR="0082501B" w:rsidRDefault="0082501B">
      <w:pPr>
        <w:rPr>
          <w:b/>
        </w:rPr>
      </w:pPr>
    </w:p>
    <w:p w14:paraId="25FA9F3E" w14:textId="77777777" w:rsidR="0082501B" w:rsidRDefault="0082501B">
      <w:pPr>
        <w:rPr>
          <w:b/>
        </w:rPr>
      </w:pPr>
    </w:p>
    <w:p w14:paraId="1ABBCBDE" w14:textId="77777777" w:rsidR="0082501B" w:rsidRDefault="0082501B">
      <w:pPr>
        <w:rPr>
          <w:b/>
        </w:rPr>
      </w:pPr>
    </w:p>
    <w:p w14:paraId="61DF1A32" w14:textId="28E2ADE5" w:rsidR="001E66DC" w:rsidRPr="001564CC" w:rsidRDefault="003E4791">
      <w:pPr>
        <w:rPr>
          <w:b/>
        </w:rPr>
      </w:pPr>
      <w:r w:rsidRPr="001564CC">
        <w:rPr>
          <w:b/>
        </w:rPr>
        <w:t>Question 2:</w:t>
      </w:r>
    </w:p>
    <w:p w14:paraId="46FCE99F" w14:textId="116140EA" w:rsidR="001E66DC" w:rsidRDefault="0091037E">
      <w:r>
        <w:t xml:space="preserve">What </w:t>
      </w:r>
      <w:r w:rsidR="00795B8B">
        <w:t xml:space="preserve">were </w:t>
      </w:r>
      <w:r w:rsidR="00612B50">
        <w:t>Canada’s</w:t>
      </w:r>
      <w:r w:rsidR="00795B8B">
        <w:t xml:space="preserve"> yearly sales? </w:t>
      </w:r>
      <w:r w:rsidR="006A150D">
        <w:rPr>
          <w:b/>
        </w:rPr>
        <w:t>(SQL 3</w:t>
      </w:r>
      <w:r w:rsidR="0025727A" w:rsidRPr="0025727A">
        <w:rPr>
          <w:b/>
        </w:rPr>
        <w:t>)</w:t>
      </w:r>
    </w:p>
    <w:p w14:paraId="1AFAF369" w14:textId="287F9A44" w:rsidR="004224A9" w:rsidRDefault="004224A9"/>
    <w:tbl>
      <w:tblPr>
        <w:tblW w:w="2600" w:type="dxa"/>
        <w:tblInd w:w="93" w:type="dxa"/>
        <w:tblLook w:val="04A0" w:firstRow="1" w:lastRow="0" w:firstColumn="1" w:lastColumn="0" w:noHBand="0" w:noVBand="1"/>
      </w:tblPr>
      <w:tblGrid>
        <w:gridCol w:w="1300"/>
        <w:gridCol w:w="1300"/>
      </w:tblGrid>
      <w:tr w:rsidR="00B600F7" w:rsidRPr="00B600F7" w14:paraId="46E08333" w14:textId="77777777" w:rsidTr="00B600F7">
        <w:trPr>
          <w:trHeight w:val="320"/>
        </w:trPr>
        <w:tc>
          <w:tcPr>
            <w:tcW w:w="13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5C5E897" w14:textId="77777777" w:rsidR="00B600F7" w:rsidRPr="00B600F7" w:rsidRDefault="00B600F7" w:rsidP="00B600F7">
            <w:pPr>
              <w:jc w:val="center"/>
              <w:rPr>
                <w:rFonts w:ascii="Calibri" w:eastAsia="Times New Roman" w:hAnsi="Calibri" w:cs="Times New Roman"/>
                <w:b/>
                <w:bCs/>
                <w:color w:val="000000"/>
              </w:rPr>
            </w:pPr>
            <w:r w:rsidRPr="00B600F7">
              <w:rPr>
                <w:rFonts w:ascii="Calibri" w:eastAsia="Times New Roman" w:hAnsi="Calibri" w:cs="Times New Roman"/>
                <w:b/>
                <w:bCs/>
                <w:color w:val="000000"/>
              </w:rPr>
              <w:t>Year</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2478BC67" w14:textId="77777777" w:rsidR="00B600F7" w:rsidRPr="00B600F7" w:rsidRDefault="00B600F7" w:rsidP="00B600F7">
            <w:pPr>
              <w:jc w:val="center"/>
              <w:rPr>
                <w:rFonts w:ascii="Calibri" w:eastAsia="Times New Roman" w:hAnsi="Calibri" w:cs="Times New Roman"/>
                <w:b/>
                <w:bCs/>
                <w:color w:val="000000"/>
              </w:rPr>
            </w:pPr>
            <w:r w:rsidRPr="00B600F7">
              <w:rPr>
                <w:rFonts w:ascii="Calibri" w:eastAsia="Times New Roman" w:hAnsi="Calibri" w:cs="Times New Roman"/>
                <w:b/>
                <w:bCs/>
                <w:color w:val="000000"/>
              </w:rPr>
              <w:t>Sales</w:t>
            </w:r>
          </w:p>
        </w:tc>
      </w:tr>
      <w:tr w:rsidR="00B600F7" w:rsidRPr="00B600F7" w14:paraId="2FBA3506" w14:textId="77777777" w:rsidTr="00B600F7">
        <w:trPr>
          <w:trHeight w:val="300"/>
        </w:trPr>
        <w:tc>
          <w:tcPr>
            <w:tcW w:w="1300" w:type="dxa"/>
            <w:tcBorders>
              <w:top w:val="nil"/>
              <w:left w:val="single" w:sz="8" w:space="0" w:color="auto"/>
              <w:bottom w:val="nil"/>
              <w:right w:val="single" w:sz="4" w:space="0" w:color="auto"/>
            </w:tcBorders>
            <w:shd w:val="clear" w:color="auto" w:fill="auto"/>
            <w:noWrap/>
            <w:vAlign w:val="bottom"/>
            <w:hideMark/>
          </w:tcPr>
          <w:p w14:paraId="2E1615D1" w14:textId="77777777" w:rsidR="00B600F7" w:rsidRPr="00B600F7" w:rsidRDefault="00B600F7" w:rsidP="00B600F7">
            <w:pPr>
              <w:jc w:val="center"/>
              <w:rPr>
                <w:rFonts w:ascii="Calibri" w:eastAsia="Times New Roman" w:hAnsi="Calibri" w:cs="Times New Roman"/>
                <w:color w:val="000000"/>
              </w:rPr>
            </w:pPr>
            <w:r w:rsidRPr="00B600F7">
              <w:rPr>
                <w:rFonts w:ascii="Calibri" w:eastAsia="Times New Roman" w:hAnsi="Calibri" w:cs="Times New Roman"/>
                <w:color w:val="000000"/>
              </w:rPr>
              <w:t>2009</w:t>
            </w:r>
          </w:p>
        </w:tc>
        <w:tc>
          <w:tcPr>
            <w:tcW w:w="1300" w:type="dxa"/>
            <w:tcBorders>
              <w:top w:val="nil"/>
              <w:left w:val="nil"/>
              <w:bottom w:val="nil"/>
              <w:right w:val="single" w:sz="8" w:space="0" w:color="auto"/>
            </w:tcBorders>
            <w:shd w:val="clear" w:color="auto" w:fill="auto"/>
            <w:noWrap/>
            <w:vAlign w:val="bottom"/>
            <w:hideMark/>
          </w:tcPr>
          <w:p w14:paraId="204FC80C" w14:textId="77777777" w:rsidR="00B600F7" w:rsidRPr="00B600F7" w:rsidRDefault="00B600F7" w:rsidP="00B600F7">
            <w:pPr>
              <w:jc w:val="center"/>
              <w:rPr>
                <w:rFonts w:ascii="Calibri" w:eastAsia="Times New Roman" w:hAnsi="Calibri" w:cs="Times New Roman"/>
                <w:color w:val="000000"/>
              </w:rPr>
            </w:pPr>
            <w:r w:rsidRPr="00B600F7">
              <w:rPr>
                <w:rFonts w:ascii="Calibri" w:eastAsia="Times New Roman" w:hAnsi="Calibri" w:cs="Times New Roman"/>
                <w:color w:val="000000"/>
              </w:rPr>
              <w:t>59.4</w:t>
            </w:r>
          </w:p>
        </w:tc>
      </w:tr>
      <w:tr w:rsidR="00B600F7" w:rsidRPr="00B600F7" w14:paraId="55C85677" w14:textId="77777777" w:rsidTr="00B600F7">
        <w:trPr>
          <w:trHeight w:val="300"/>
        </w:trPr>
        <w:tc>
          <w:tcPr>
            <w:tcW w:w="1300" w:type="dxa"/>
            <w:tcBorders>
              <w:top w:val="nil"/>
              <w:left w:val="single" w:sz="8" w:space="0" w:color="auto"/>
              <w:bottom w:val="nil"/>
              <w:right w:val="single" w:sz="4" w:space="0" w:color="auto"/>
            </w:tcBorders>
            <w:shd w:val="clear" w:color="auto" w:fill="auto"/>
            <w:noWrap/>
            <w:vAlign w:val="bottom"/>
            <w:hideMark/>
          </w:tcPr>
          <w:p w14:paraId="1590F7A8" w14:textId="77777777" w:rsidR="00B600F7" w:rsidRPr="00B600F7" w:rsidRDefault="00B600F7" w:rsidP="00B600F7">
            <w:pPr>
              <w:jc w:val="center"/>
              <w:rPr>
                <w:rFonts w:ascii="Calibri" w:eastAsia="Times New Roman" w:hAnsi="Calibri" w:cs="Times New Roman"/>
                <w:color w:val="000000"/>
              </w:rPr>
            </w:pPr>
            <w:r w:rsidRPr="00B600F7">
              <w:rPr>
                <w:rFonts w:ascii="Calibri" w:eastAsia="Times New Roman" w:hAnsi="Calibri" w:cs="Times New Roman"/>
                <w:color w:val="000000"/>
              </w:rPr>
              <w:t>2010</w:t>
            </w:r>
          </w:p>
        </w:tc>
        <w:tc>
          <w:tcPr>
            <w:tcW w:w="1300" w:type="dxa"/>
            <w:tcBorders>
              <w:top w:val="nil"/>
              <w:left w:val="nil"/>
              <w:bottom w:val="nil"/>
              <w:right w:val="single" w:sz="8" w:space="0" w:color="auto"/>
            </w:tcBorders>
            <w:shd w:val="clear" w:color="auto" w:fill="auto"/>
            <w:noWrap/>
            <w:vAlign w:val="bottom"/>
            <w:hideMark/>
          </w:tcPr>
          <w:p w14:paraId="75799EA7" w14:textId="77777777" w:rsidR="00B600F7" w:rsidRPr="00B600F7" w:rsidRDefault="00B600F7" w:rsidP="00B600F7">
            <w:pPr>
              <w:jc w:val="center"/>
              <w:rPr>
                <w:rFonts w:ascii="Calibri" w:eastAsia="Times New Roman" w:hAnsi="Calibri" w:cs="Times New Roman"/>
                <w:color w:val="000000"/>
              </w:rPr>
            </w:pPr>
            <w:r w:rsidRPr="00B600F7">
              <w:rPr>
                <w:rFonts w:ascii="Calibri" w:eastAsia="Times New Roman" w:hAnsi="Calibri" w:cs="Times New Roman"/>
                <w:color w:val="000000"/>
              </w:rPr>
              <w:t>78.26</w:t>
            </w:r>
          </w:p>
        </w:tc>
      </w:tr>
      <w:tr w:rsidR="00B600F7" w:rsidRPr="00B600F7" w14:paraId="6DD0E754" w14:textId="77777777" w:rsidTr="00B600F7">
        <w:trPr>
          <w:trHeight w:val="300"/>
        </w:trPr>
        <w:tc>
          <w:tcPr>
            <w:tcW w:w="1300" w:type="dxa"/>
            <w:tcBorders>
              <w:top w:val="nil"/>
              <w:left w:val="single" w:sz="8" w:space="0" w:color="auto"/>
              <w:bottom w:val="nil"/>
              <w:right w:val="single" w:sz="4" w:space="0" w:color="auto"/>
            </w:tcBorders>
            <w:shd w:val="clear" w:color="auto" w:fill="auto"/>
            <w:noWrap/>
            <w:vAlign w:val="bottom"/>
            <w:hideMark/>
          </w:tcPr>
          <w:p w14:paraId="01A9FF5B" w14:textId="77777777" w:rsidR="00B600F7" w:rsidRPr="00B600F7" w:rsidRDefault="00B600F7" w:rsidP="00B600F7">
            <w:pPr>
              <w:jc w:val="center"/>
              <w:rPr>
                <w:rFonts w:ascii="Calibri" w:eastAsia="Times New Roman" w:hAnsi="Calibri" w:cs="Times New Roman"/>
                <w:color w:val="000000"/>
              </w:rPr>
            </w:pPr>
            <w:r w:rsidRPr="00B600F7">
              <w:rPr>
                <w:rFonts w:ascii="Calibri" w:eastAsia="Times New Roman" w:hAnsi="Calibri" w:cs="Times New Roman"/>
                <w:color w:val="000000"/>
              </w:rPr>
              <w:t>2011</w:t>
            </w:r>
          </w:p>
        </w:tc>
        <w:tc>
          <w:tcPr>
            <w:tcW w:w="1300" w:type="dxa"/>
            <w:tcBorders>
              <w:top w:val="nil"/>
              <w:left w:val="nil"/>
              <w:bottom w:val="nil"/>
              <w:right w:val="single" w:sz="8" w:space="0" w:color="auto"/>
            </w:tcBorders>
            <w:shd w:val="clear" w:color="auto" w:fill="auto"/>
            <w:noWrap/>
            <w:vAlign w:val="bottom"/>
            <w:hideMark/>
          </w:tcPr>
          <w:p w14:paraId="71B5FDA7" w14:textId="77777777" w:rsidR="00B600F7" w:rsidRPr="00B600F7" w:rsidRDefault="00B600F7" w:rsidP="00B600F7">
            <w:pPr>
              <w:jc w:val="center"/>
              <w:rPr>
                <w:rFonts w:ascii="Calibri" w:eastAsia="Times New Roman" w:hAnsi="Calibri" w:cs="Times New Roman"/>
                <w:color w:val="000000"/>
              </w:rPr>
            </w:pPr>
            <w:r w:rsidRPr="00B600F7">
              <w:rPr>
                <w:rFonts w:ascii="Calibri" w:eastAsia="Times New Roman" w:hAnsi="Calibri" w:cs="Times New Roman"/>
                <w:color w:val="000000"/>
              </w:rPr>
              <w:t>53.46</w:t>
            </w:r>
          </w:p>
        </w:tc>
      </w:tr>
      <w:tr w:rsidR="00B600F7" w:rsidRPr="00B600F7" w14:paraId="2C1E68C4" w14:textId="77777777" w:rsidTr="00B600F7">
        <w:trPr>
          <w:trHeight w:val="300"/>
        </w:trPr>
        <w:tc>
          <w:tcPr>
            <w:tcW w:w="1300" w:type="dxa"/>
            <w:tcBorders>
              <w:top w:val="nil"/>
              <w:left w:val="single" w:sz="8" w:space="0" w:color="auto"/>
              <w:bottom w:val="nil"/>
              <w:right w:val="single" w:sz="4" w:space="0" w:color="auto"/>
            </w:tcBorders>
            <w:shd w:val="clear" w:color="auto" w:fill="auto"/>
            <w:noWrap/>
            <w:vAlign w:val="bottom"/>
            <w:hideMark/>
          </w:tcPr>
          <w:p w14:paraId="02476A0B" w14:textId="77777777" w:rsidR="00B600F7" w:rsidRPr="00B600F7" w:rsidRDefault="00B600F7" w:rsidP="00B600F7">
            <w:pPr>
              <w:jc w:val="center"/>
              <w:rPr>
                <w:rFonts w:ascii="Calibri" w:eastAsia="Times New Roman" w:hAnsi="Calibri" w:cs="Times New Roman"/>
                <w:color w:val="000000"/>
              </w:rPr>
            </w:pPr>
            <w:r w:rsidRPr="00B600F7">
              <w:rPr>
                <w:rFonts w:ascii="Calibri" w:eastAsia="Times New Roman" w:hAnsi="Calibri" w:cs="Times New Roman"/>
                <w:color w:val="000000"/>
              </w:rPr>
              <w:t>2012</w:t>
            </w:r>
          </w:p>
        </w:tc>
        <w:tc>
          <w:tcPr>
            <w:tcW w:w="1300" w:type="dxa"/>
            <w:tcBorders>
              <w:top w:val="nil"/>
              <w:left w:val="nil"/>
              <w:bottom w:val="nil"/>
              <w:right w:val="single" w:sz="8" w:space="0" w:color="auto"/>
            </w:tcBorders>
            <w:shd w:val="clear" w:color="auto" w:fill="auto"/>
            <w:noWrap/>
            <w:vAlign w:val="bottom"/>
            <w:hideMark/>
          </w:tcPr>
          <w:p w14:paraId="08BBEA76" w14:textId="77777777" w:rsidR="00B600F7" w:rsidRPr="00B600F7" w:rsidRDefault="00B600F7" w:rsidP="00B600F7">
            <w:pPr>
              <w:jc w:val="center"/>
              <w:rPr>
                <w:rFonts w:ascii="Calibri" w:eastAsia="Times New Roman" w:hAnsi="Calibri" w:cs="Times New Roman"/>
                <w:color w:val="000000"/>
              </w:rPr>
            </w:pPr>
            <w:r w:rsidRPr="00B600F7">
              <w:rPr>
                <w:rFonts w:ascii="Calibri" w:eastAsia="Times New Roman" w:hAnsi="Calibri" w:cs="Times New Roman"/>
                <w:color w:val="000000"/>
              </w:rPr>
              <w:t>42.57</w:t>
            </w:r>
          </w:p>
        </w:tc>
      </w:tr>
      <w:tr w:rsidR="00B600F7" w:rsidRPr="00B600F7" w14:paraId="38F0F877" w14:textId="77777777" w:rsidTr="00B600F7">
        <w:trPr>
          <w:trHeight w:val="320"/>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25A60502" w14:textId="77777777" w:rsidR="00B600F7" w:rsidRPr="00B600F7" w:rsidRDefault="00B600F7" w:rsidP="00B600F7">
            <w:pPr>
              <w:jc w:val="center"/>
              <w:rPr>
                <w:rFonts w:ascii="Calibri" w:eastAsia="Times New Roman" w:hAnsi="Calibri" w:cs="Times New Roman"/>
                <w:color w:val="000000"/>
              </w:rPr>
            </w:pPr>
            <w:r w:rsidRPr="00B600F7">
              <w:rPr>
                <w:rFonts w:ascii="Calibri" w:eastAsia="Times New Roman" w:hAnsi="Calibri" w:cs="Times New Roman"/>
                <w:color w:val="000000"/>
              </w:rPr>
              <w:t>2013</w:t>
            </w:r>
          </w:p>
        </w:tc>
        <w:tc>
          <w:tcPr>
            <w:tcW w:w="1300" w:type="dxa"/>
            <w:tcBorders>
              <w:top w:val="nil"/>
              <w:left w:val="nil"/>
              <w:bottom w:val="single" w:sz="8" w:space="0" w:color="auto"/>
              <w:right w:val="single" w:sz="8" w:space="0" w:color="auto"/>
            </w:tcBorders>
            <w:shd w:val="clear" w:color="auto" w:fill="auto"/>
            <w:noWrap/>
            <w:vAlign w:val="bottom"/>
            <w:hideMark/>
          </w:tcPr>
          <w:p w14:paraId="6D1AD1D6" w14:textId="77777777" w:rsidR="00B600F7" w:rsidRPr="00B600F7" w:rsidRDefault="00B600F7" w:rsidP="00B600F7">
            <w:pPr>
              <w:jc w:val="center"/>
              <w:rPr>
                <w:rFonts w:ascii="Calibri" w:eastAsia="Times New Roman" w:hAnsi="Calibri" w:cs="Times New Roman"/>
                <w:color w:val="000000"/>
              </w:rPr>
            </w:pPr>
            <w:r w:rsidRPr="00B600F7">
              <w:rPr>
                <w:rFonts w:ascii="Calibri" w:eastAsia="Times New Roman" w:hAnsi="Calibri" w:cs="Times New Roman"/>
                <w:color w:val="000000"/>
              </w:rPr>
              <w:t>72.27</w:t>
            </w:r>
          </w:p>
        </w:tc>
      </w:tr>
    </w:tbl>
    <w:p w14:paraId="65D74269" w14:textId="77777777" w:rsidR="0078250C" w:rsidRDefault="00BD08DA">
      <w:r w:rsidRPr="00BD08DA">
        <w:rPr>
          <w:b/>
        </w:rPr>
        <w:t>Table</w:t>
      </w:r>
      <w:r w:rsidR="0025727A" w:rsidRPr="00BD08DA">
        <w:rPr>
          <w:b/>
        </w:rPr>
        <w:t xml:space="preserve"> 2a</w:t>
      </w:r>
      <w:r w:rsidR="0025727A">
        <w:t>: Canada’s Yearly Sales</w:t>
      </w:r>
      <w:r w:rsidR="0078250C">
        <w:t xml:space="preserve"> </w:t>
      </w:r>
    </w:p>
    <w:p w14:paraId="78C28A18" w14:textId="424DE3D1" w:rsidR="0025727A" w:rsidRDefault="0078250C">
      <w:r>
        <w:t>(SQL solution)</w:t>
      </w:r>
    </w:p>
    <w:p w14:paraId="69E6FEEB" w14:textId="77777777" w:rsidR="0082501B" w:rsidRDefault="0082501B"/>
    <w:p w14:paraId="659E1005" w14:textId="23038788" w:rsidR="0082501B" w:rsidRDefault="008B1CA4">
      <w:pPr>
        <w:rPr>
          <w:b/>
        </w:rPr>
      </w:pPr>
      <w:r>
        <w:rPr>
          <w:noProof/>
        </w:rPr>
        <w:drawing>
          <wp:inline distT="0" distB="0" distL="0" distR="0" wp14:anchorId="59732893" wp14:editId="5A2DA9C5">
            <wp:extent cx="6743700" cy="4906108"/>
            <wp:effectExtent l="0" t="0" r="1270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60A503" w14:textId="7418719D" w:rsidR="0082501B" w:rsidRDefault="0082501B">
      <w:pPr>
        <w:rPr>
          <w:b/>
        </w:rPr>
      </w:pPr>
      <w:r>
        <w:rPr>
          <w:b/>
        </w:rPr>
        <w:t>Figure 2.1: Canada’s Yearly Sales Trend</w:t>
      </w:r>
    </w:p>
    <w:p w14:paraId="6CA74EDC" w14:textId="77777777" w:rsidR="0082501B" w:rsidRDefault="0082501B">
      <w:pPr>
        <w:rPr>
          <w:b/>
        </w:rPr>
      </w:pPr>
    </w:p>
    <w:p w14:paraId="1154CC57" w14:textId="79315F66" w:rsidR="008B1CA4" w:rsidRDefault="008B1CA4" w:rsidP="008B1CA4">
      <w:r w:rsidRPr="00E869CF">
        <w:rPr>
          <w:b/>
        </w:rPr>
        <w:t>Conclusion:</w:t>
      </w:r>
      <w:r>
        <w:t xml:space="preserve"> Based on Table 2a, Canada’s yearly sales are not consistent: sales hit its highest peak from $59.40 to $78.26 from 2009 to 2010 before it goes back down to low 50 in 2011, hit another low dip in 2012 before sales went up in 2013 with $72.27. This can be visualized in Figure 2.1</w:t>
      </w:r>
      <w:r>
        <w:t>. The sales seems to decrease</w:t>
      </w:r>
      <w:bookmarkStart w:id="0" w:name="_GoBack"/>
      <w:bookmarkEnd w:id="0"/>
      <w:r>
        <w:t xml:space="preserve"> in the years 2010-2012</w:t>
      </w:r>
    </w:p>
    <w:p w14:paraId="7D2FD6AE" w14:textId="77777777" w:rsidR="008B1CA4" w:rsidRDefault="008B1CA4" w:rsidP="008B1CA4"/>
    <w:p w14:paraId="2F4BD071" w14:textId="77777777" w:rsidR="008B1CA4" w:rsidRDefault="008B1CA4" w:rsidP="008B1CA4">
      <w:r>
        <w:t>In reality, sales numbers are usually much higher. It could be that this database query is not suitable for yearly sales analysis.</w:t>
      </w:r>
    </w:p>
    <w:p w14:paraId="698947E7" w14:textId="77777777" w:rsidR="0082501B" w:rsidRDefault="0082501B">
      <w:pPr>
        <w:rPr>
          <w:b/>
        </w:rPr>
      </w:pPr>
    </w:p>
    <w:p w14:paraId="5A38B97F" w14:textId="74D5C103" w:rsidR="0025727A" w:rsidRDefault="00DA08DF">
      <w:pPr>
        <w:rPr>
          <w:b/>
        </w:rPr>
      </w:pPr>
      <w:r w:rsidRPr="001564CC">
        <w:rPr>
          <w:b/>
        </w:rPr>
        <w:t>Question 3</w:t>
      </w:r>
      <w:r>
        <w:t xml:space="preserve">: </w:t>
      </w:r>
      <w:r w:rsidR="006D737D">
        <w:t>What are the overall mon</w:t>
      </w:r>
      <w:r w:rsidR="00AD35D8">
        <w:t>thly sales of Rock music in 2013</w:t>
      </w:r>
      <w:r w:rsidR="006D737D">
        <w:t xml:space="preserve"> throughout the world</w:t>
      </w:r>
      <w:r w:rsidR="003E4D48">
        <w:t>?</w:t>
      </w:r>
      <w:r w:rsidR="006A150D">
        <w:t xml:space="preserve"> </w:t>
      </w:r>
      <w:r w:rsidR="006A150D" w:rsidRPr="006A150D">
        <w:rPr>
          <w:b/>
        </w:rPr>
        <w:t>(SQL 4)</w:t>
      </w:r>
    </w:p>
    <w:p w14:paraId="03EF76AD" w14:textId="77777777" w:rsidR="00491D5A" w:rsidRDefault="00491D5A">
      <w:pPr>
        <w:rPr>
          <w:b/>
        </w:rPr>
      </w:pPr>
    </w:p>
    <w:tbl>
      <w:tblPr>
        <w:tblW w:w="2600" w:type="dxa"/>
        <w:tblInd w:w="93" w:type="dxa"/>
        <w:tblLook w:val="04A0" w:firstRow="1" w:lastRow="0" w:firstColumn="1" w:lastColumn="0" w:noHBand="0" w:noVBand="1"/>
      </w:tblPr>
      <w:tblGrid>
        <w:gridCol w:w="1300"/>
        <w:gridCol w:w="1300"/>
      </w:tblGrid>
      <w:tr w:rsidR="00491D5A" w:rsidRPr="00491D5A" w14:paraId="3F5E8319" w14:textId="77777777" w:rsidTr="00491D5A">
        <w:trPr>
          <w:trHeight w:val="320"/>
        </w:trPr>
        <w:tc>
          <w:tcPr>
            <w:tcW w:w="13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A20C476" w14:textId="77777777" w:rsidR="00491D5A" w:rsidRPr="00491D5A" w:rsidRDefault="00491D5A" w:rsidP="00491D5A">
            <w:pPr>
              <w:jc w:val="center"/>
              <w:rPr>
                <w:rFonts w:ascii="Calibri" w:eastAsia="Times New Roman" w:hAnsi="Calibri" w:cs="Times New Roman"/>
                <w:b/>
                <w:bCs/>
                <w:color w:val="000000"/>
              </w:rPr>
            </w:pPr>
            <w:r w:rsidRPr="00491D5A">
              <w:rPr>
                <w:rFonts w:ascii="Calibri" w:eastAsia="Times New Roman" w:hAnsi="Calibri" w:cs="Times New Roman"/>
                <w:b/>
                <w:bCs/>
                <w:color w:val="000000"/>
              </w:rPr>
              <w:t>Month</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061DC6C1" w14:textId="77777777" w:rsidR="00491D5A" w:rsidRPr="00491D5A" w:rsidRDefault="00491D5A" w:rsidP="00491D5A">
            <w:pPr>
              <w:jc w:val="center"/>
              <w:rPr>
                <w:rFonts w:ascii="Calibri" w:eastAsia="Times New Roman" w:hAnsi="Calibri" w:cs="Times New Roman"/>
                <w:b/>
                <w:bCs/>
                <w:color w:val="000000"/>
              </w:rPr>
            </w:pPr>
            <w:r w:rsidRPr="00491D5A">
              <w:rPr>
                <w:rFonts w:ascii="Calibri" w:eastAsia="Times New Roman" w:hAnsi="Calibri" w:cs="Times New Roman"/>
                <w:b/>
                <w:bCs/>
                <w:color w:val="000000"/>
              </w:rPr>
              <w:t>Sales</w:t>
            </w:r>
          </w:p>
        </w:tc>
      </w:tr>
      <w:tr w:rsidR="00491D5A" w:rsidRPr="00491D5A" w14:paraId="6B5D1B29" w14:textId="77777777" w:rsidTr="00491D5A">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27D83DA2"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March</w:t>
            </w:r>
          </w:p>
        </w:tc>
        <w:tc>
          <w:tcPr>
            <w:tcW w:w="1300" w:type="dxa"/>
            <w:tcBorders>
              <w:top w:val="nil"/>
              <w:left w:val="nil"/>
              <w:bottom w:val="single" w:sz="4" w:space="0" w:color="auto"/>
              <w:right w:val="single" w:sz="8" w:space="0" w:color="auto"/>
            </w:tcBorders>
            <w:shd w:val="clear" w:color="auto" w:fill="auto"/>
            <w:noWrap/>
            <w:vAlign w:val="bottom"/>
            <w:hideMark/>
          </w:tcPr>
          <w:p w14:paraId="2DC14ABE"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$8.91</w:t>
            </w:r>
          </w:p>
        </w:tc>
      </w:tr>
      <w:tr w:rsidR="00491D5A" w:rsidRPr="00491D5A" w14:paraId="43365650" w14:textId="77777777" w:rsidTr="00491D5A">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DE7E050"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April</w:t>
            </w:r>
          </w:p>
        </w:tc>
        <w:tc>
          <w:tcPr>
            <w:tcW w:w="1300" w:type="dxa"/>
            <w:tcBorders>
              <w:top w:val="nil"/>
              <w:left w:val="nil"/>
              <w:bottom w:val="single" w:sz="4" w:space="0" w:color="auto"/>
              <w:right w:val="single" w:sz="8" w:space="0" w:color="auto"/>
            </w:tcBorders>
            <w:shd w:val="clear" w:color="auto" w:fill="auto"/>
            <w:noWrap/>
            <w:vAlign w:val="bottom"/>
            <w:hideMark/>
          </w:tcPr>
          <w:p w14:paraId="739556F8"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$14.85</w:t>
            </w:r>
          </w:p>
        </w:tc>
      </w:tr>
      <w:tr w:rsidR="00491D5A" w:rsidRPr="00491D5A" w14:paraId="0517DE51" w14:textId="77777777" w:rsidTr="00491D5A">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169A1C66"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May</w:t>
            </w:r>
          </w:p>
        </w:tc>
        <w:tc>
          <w:tcPr>
            <w:tcW w:w="1300" w:type="dxa"/>
            <w:tcBorders>
              <w:top w:val="nil"/>
              <w:left w:val="nil"/>
              <w:bottom w:val="single" w:sz="4" w:space="0" w:color="auto"/>
              <w:right w:val="single" w:sz="8" w:space="0" w:color="auto"/>
            </w:tcBorders>
            <w:shd w:val="clear" w:color="auto" w:fill="auto"/>
            <w:noWrap/>
            <w:vAlign w:val="bottom"/>
            <w:hideMark/>
          </w:tcPr>
          <w:p w14:paraId="314026A9"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$8.91</w:t>
            </w:r>
          </w:p>
        </w:tc>
      </w:tr>
      <w:tr w:rsidR="00491D5A" w:rsidRPr="00491D5A" w14:paraId="154F1595" w14:textId="77777777" w:rsidTr="00491D5A">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7FB87063"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June</w:t>
            </w:r>
          </w:p>
        </w:tc>
        <w:tc>
          <w:tcPr>
            <w:tcW w:w="1300" w:type="dxa"/>
            <w:tcBorders>
              <w:top w:val="nil"/>
              <w:left w:val="nil"/>
              <w:bottom w:val="single" w:sz="4" w:space="0" w:color="auto"/>
              <w:right w:val="single" w:sz="8" w:space="0" w:color="auto"/>
            </w:tcBorders>
            <w:shd w:val="clear" w:color="auto" w:fill="auto"/>
            <w:noWrap/>
            <w:vAlign w:val="bottom"/>
            <w:hideMark/>
          </w:tcPr>
          <w:p w14:paraId="61BC712F"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$18.81</w:t>
            </w:r>
          </w:p>
        </w:tc>
      </w:tr>
      <w:tr w:rsidR="00491D5A" w:rsidRPr="00491D5A" w14:paraId="6B79E5AF" w14:textId="77777777" w:rsidTr="00491D5A">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15FBB220"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July</w:t>
            </w:r>
          </w:p>
        </w:tc>
        <w:tc>
          <w:tcPr>
            <w:tcW w:w="1300" w:type="dxa"/>
            <w:tcBorders>
              <w:top w:val="nil"/>
              <w:left w:val="nil"/>
              <w:bottom w:val="single" w:sz="4" w:space="0" w:color="auto"/>
              <w:right w:val="single" w:sz="8" w:space="0" w:color="auto"/>
            </w:tcBorders>
            <w:shd w:val="clear" w:color="auto" w:fill="auto"/>
            <w:noWrap/>
            <w:vAlign w:val="bottom"/>
            <w:hideMark/>
          </w:tcPr>
          <w:p w14:paraId="73ED238E"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$22.77</w:t>
            </w:r>
          </w:p>
        </w:tc>
      </w:tr>
      <w:tr w:rsidR="00491D5A" w:rsidRPr="00491D5A" w14:paraId="6640F17D" w14:textId="77777777" w:rsidTr="00491D5A">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3E6D6861"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August</w:t>
            </w:r>
          </w:p>
        </w:tc>
        <w:tc>
          <w:tcPr>
            <w:tcW w:w="1300" w:type="dxa"/>
            <w:tcBorders>
              <w:top w:val="nil"/>
              <w:left w:val="nil"/>
              <w:bottom w:val="single" w:sz="4" w:space="0" w:color="auto"/>
              <w:right w:val="single" w:sz="8" w:space="0" w:color="auto"/>
            </w:tcBorders>
            <w:shd w:val="clear" w:color="auto" w:fill="auto"/>
            <w:noWrap/>
            <w:vAlign w:val="bottom"/>
            <w:hideMark/>
          </w:tcPr>
          <w:p w14:paraId="064A2A2F"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$17.82</w:t>
            </w:r>
          </w:p>
        </w:tc>
      </w:tr>
      <w:tr w:rsidR="00491D5A" w:rsidRPr="00491D5A" w14:paraId="172C6D9A" w14:textId="77777777" w:rsidTr="00491D5A">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47D2CE3"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September</w:t>
            </w:r>
          </w:p>
        </w:tc>
        <w:tc>
          <w:tcPr>
            <w:tcW w:w="1300" w:type="dxa"/>
            <w:tcBorders>
              <w:top w:val="nil"/>
              <w:left w:val="nil"/>
              <w:bottom w:val="single" w:sz="4" w:space="0" w:color="auto"/>
              <w:right w:val="single" w:sz="8" w:space="0" w:color="auto"/>
            </w:tcBorders>
            <w:shd w:val="clear" w:color="auto" w:fill="auto"/>
            <w:noWrap/>
            <w:vAlign w:val="bottom"/>
            <w:hideMark/>
          </w:tcPr>
          <w:p w14:paraId="312FF08F"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$21.78</w:t>
            </w:r>
          </w:p>
        </w:tc>
      </w:tr>
      <w:tr w:rsidR="00491D5A" w:rsidRPr="00491D5A" w14:paraId="7A94C6F7" w14:textId="77777777" w:rsidTr="00491D5A">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1E7563A5"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October</w:t>
            </w:r>
          </w:p>
        </w:tc>
        <w:tc>
          <w:tcPr>
            <w:tcW w:w="1300" w:type="dxa"/>
            <w:tcBorders>
              <w:top w:val="nil"/>
              <w:left w:val="nil"/>
              <w:bottom w:val="single" w:sz="4" w:space="0" w:color="auto"/>
              <w:right w:val="single" w:sz="8" w:space="0" w:color="auto"/>
            </w:tcBorders>
            <w:shd w:val="clear" w:color="auto" w:fill="auto"/>
            <w:noWrap/>
            <w:vAlign w:val="bottom"/>
            <w:hideMark/>
          </w:tcPr>
          <w:p w14:paraId="187C7B59"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$19.80</w:t>
            </w:r>
          </w:p>
        </w:tc>
      </w:tr>
      <w:tr w:rsidR="00491D5A" w:rsidRPr="00491D5A" w14:paraId="616DA5D6" w14:textId="77777777" w:rsidTr="00491D5A">
        <w:trPr>
          <w:trHeight w:val="30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38A1F66E"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November</w:t>
            </w:r>
          </w:p>
        </w:tc>
        <w:tc>
          <w:tcPr>
            <w:tcW w:w="1300" w:type="dxa"/>
            <w:tcBorders>
              <w:top w:val="nil"/>
              <w:left w:val="nil"/>
              <w:bottom w:val="single" w:sz="4" w:space="0" w:color="auto"/>
              <w:right w:val="single" w:sz="8" w:space="0" w:color="auto"/>
            </w:tcBorders>
            <w:shd w:val="clear" w:color="auto" w:fill="auto"/>
            <w:noWrap/>
            <w:vAlign w:val="bottom"/>
            <w:hideMark/>
          </w:tcPr>
          <w:p w14:paraId="3877A7D0"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$26.85</w:t>
            </w:r>
          </w:p>
        </w:tc>
      </w:tr>
      <w:tr w:rsidR="00491D5A" w:rsidRPr="00491D5A" w14:paraId="56FEF905" w14:textId="77777777" w:rsidTr="00491D5A">
        <w:trPr>
          <w:trHeight w:val="320"/>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467FE353"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December</w:t>
            </w:r>
          </w:p>
        </w:tc>
        <w:tc>
          <w:tcPr>
            <w:tcW w:w="1300" w:type="dxa"/>
            <w:tcBorders>
              <w:top w:val="nil"/>
              <w:left w:val="nil"/>
              <w:bottom w:val="single" w:sz="8" w:space="0" w:color="auto"/>
              <w:right w:val="single" w:sz="8" w:space="0" w:color="auto"/>
            </w:tcBorders>
            <w:shd w:val="clear" w:color="auto" w:fill="auto"/>
            <w:noWrap/>
            <w:vAlign w:val="bottom"/>
            <w:hideMark/>
          </w:tcPr>
          <w:p w14:paraId="3340C62A" w14:textId="77777777" w:rsidR="00491D5A" w:rsidRPr="00491D5A" w:rsidRDefault="00491D5A" w:rsidP="00491D5A">
            <w:pPr>
              <w:jc w:val="center"/>
              <w:rPr>
                <w:rFonts w:ascii="Calibri" w:eastAsia="Times New Roman" w:hAnsi="Calibri" w:cs="Times New Roman"/>
                <w:color w:val="000000"/>
              </w:rPr>
            </w:pPr>
            <w:r w:rsidRPr="00491D5A">
              <w:rPr>
                <w:rFonts w:ascii="Calibri" w:eastAsia="Times New Roman" w:hAnsi="Calibri" w:cs="Times New Roman"/>
                <w:color w:val="000000"/>
              </w:rPr>
              <w:t>$22.77</w:t>
            </w:r>
          </w:p>
        </w:tc>
      </w:tr>
    </w:tbl>
    <w:p w14:paraId="14A86C7E" w14:textId="36CF8D9C" w:rsidR="00491D5A" w:rsidRDefault="00491D5A">
      <w:r w:rsidRPr="00491D5A">
        <w:rPr>
          <w:b/>
        </w:rPr>
        <w:t>Table 3a</w:t>
      </w:r>
      <w:r>
        <w:t>: Quantitative Monthly Sales</w:t>
      </w:r>
    </w:p>
    <w:p w14:paraId="4393CF98" w14:textId="3A29013E" w:rsidR="00DA08DF" w:rsidRDefault="00DA08DF"/>
    <w:p w14:paraId="5F58C868" w14:textId="7B10277D" w:rsidR="006A150D" w:rsidRDefault="00491D5A">
      <w:r>
        <w:rPr>
          <w:noProof/>
        </w:rPr>
        <w:drawing>
          <wp:inline distT="0" distB="0" distL="0" distR="0" wp14:anchorId="35C7CF63" wp14:editId="1BBF55D8">
            <wp:extent cx="6743700" cy="3584331"/>
            <wp:effectExtent l="0" t="0" r="12700" b="2286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0D3716" w14:textId="4D0010C4" w:rsidR="006A150D" w:rsidRDefault="00491D5A">
      <w:r w:rsidRPr="00491D5A">
        <w:rPr>
          <w:b/>
        </w:rPr>
        <w:t>Figure 3.1:</w:t>
      </w:r>
      <w:r>
        <w:t xml:space="preserve"> Monthly Sales of Rock Music in 2013</w:t>
      </w:r>
    </w:p>
    <w:p w14:paraId="52074A1E" w14:textId="77777777" w:rsidR="006A150D" w:rsidRDefault="006A150D"/>
    <w:p w14:paraId="7CB335F0" w14:textId="236955B5" w:rsidR="006A150D" w:rsidRDefault="00E869CF">
      <w:r w:rsidRPr="00E869CF">
        <w:rPr>
          <w:b/>
        </w:rPr>
        <w:t>Conclusion:</w:t>
      </w:r>
      <w:r>
        <w:t xml:space="preserve"> </w:t>
      </w:r>
      <w:r w:rsidR="00491D5A">
        <w:t>As we can see from Figure 3.1, Rock music steadily increased throughout the months of March until the end of the year in 2013.</w:t>
      </w:r>
      <w:r>
        <w:t xml:space="preserve"> By the month of December there has been a 2.5 time increase in sales since the month of March in 2013.</w:t>
      </w:r>
      <w:r w:rsidR="00491D5A">
        <w:t xml:space="preserve"> Query results did not show any data from January to February for the year 2013. </w:t>
      </w:r>
    </w:p>
    <w:p w14:paraId="68CB84F3" w14:textId="77777777" w:rsidR="0082501B" w:rsidRDefault="0082501B">
      <w:pPr>
        <w:rPr>
          <w:b/>
        </w:rPr>
      </w:pPr>
    </w:p>
    <w:p w14:paraId="62B8544A" w14:textId="77777777" w:rsidR="0082501B" w:rsidRDefault="0082501B">
      <w:pPr>
        <w:rPr>
          <w:b/>
        </w:rPr>
      </w:pPr>
    </w:p>
    <w:p w14:paraId="548677F1" w14:textId="77777777" w:rsidR="0082501B" w:rsidRDefault="0082501B">
      <w:pPr>
        <w:rPr>
          <w:b/>
        </w:rPr>
      </w:pPr>
    </w:p>
    <w:p w14:paraId="45B44951" w14:textId="77777777" w:rsidR="0082501B" w:rsidRDefault="0082501B">
      <w:pPr>
        <w:rPr>
          <w:b/>
        </w:rPr>
      </w:pPr>
    </w:p>
    <w:p w14:paraId="306D906D" w14:textId="77777777" w:rsidR="0082501B" w:rsidRDefault="0082501B">
      <w:pPr>
        <w:rPr>
          <w:b/>
        </w:rPr>
      </w:pPr>
    </w:p>
    <w:p w14:paraId="764A83EE" w14:textId="77777777" w:rsidR="0082501B" w:rsidRDefault="0082501B">
      <w:pPr>
        <w:rPr>
          <w:b/>
        </w:rPr>
      </w:pPr>
    </w:p>
    <w:p w14:paraId="23B4359A" w14:textId="77777777" w:rsidR="0082501B" w:rsidRDefault="0082501B">
      <w:pPr>
        <w:rPr>
          <w:b/>
        </w:rPr>
      </w:pPr>
    </w:p>
    <w:p w14:paraId="53791D66" w14:textId="77777777" w:rsidR="0082501B" w:rsidRDefault="0082501B">
      <w:pPr>
        <w:rPr>
          <w:b/>
        </w:rPr>
      </w:pPr>
    </w:p>
    <w:p w14:paraId="1D639B51" w14:textId="114A22D5" w:rsidR="000E279C" w:rsidRPr="000E279C" w:rsidRDefault="000E279C">
      <w:pPr>
        <w:rPr>
          <w:b/>
        </w:rPr>
      </w:pPr>
      <w:r w:rsidRPr="000E279C">
        <w:rPr>
          <w:b/>
        </w:rPr>
        <w:t xml:space="preserve">Question 4: </w:t>
      </w:r>
    </w:p>
    <w:p w14:paraId="141A7162" w14:textId="77777777" w:rsidR="00E869CF" w:rsidRDefault="006A150D">
      <w:r>
        <w:t xml:space="preserve">What is the average length of Led Zeppelin’s music? </w:t>
      </w:r>
      <w:r w:rsidR="000E279C">
        <w:t xml:space="preserve"> </w:t>
      </w:r>
      <w:r w:rsidR="000E279C" w:rsidRPr="000E279C">
        <w:rPr>
          <w:b/>
        </w:rPr>
        <w:t>(SQL 5)</w:t>
      </w:r>
    </w:p>
    <w:p w14:paraId="246898CD" w14:textId="557C6DC1" w:rsidR="000E279C" w:rsidRDefault="006A150D">
      <w:r>
        <w:t>How do they compare with the rest of his music?</w:t>
      </w:r>
      <w:r w:rsidR="000E279C">
        <w:t xml:space="preserve"> </w:t>
      </w:r>
      <w:r w:rsidR="000E279C" w:rsidRPr="000E279C">
        <w:rPr>
          <w:b/>
        </w:rPr>
        <w:t>(SQL 6)</w:t>
      </w:r>
    </w:p>
    <w:p w14:paraId="2A02723F" w14:textId="77777777" w:rsidR="00E869CF" w:rsidRDefault="00E869CF"/>
    <w:tbl>
      <w:tblPr>
        <w:tblW w:w="5680" w:type="dxa"/>
        <w:tblInd w:w="93" w:type="dxa"/>
        <w:tblLook w:val="04A0" w:firstRow="1" w:lastRow="0" w:firstColumn="1" w:lastColumn="0" w:noHBand="0" w:noVBand="1"/>
      </w:tblPr>
      <w:tblGrid>
        <w:gridCol w:w="3520"/>
        <w:gridCol w:w="2160"/>
      </w:tblGrid>
      <w:tr w:rsidR="00AB79D6" w:rsidRPr="00AB79D6" w14:paraId="47744BE2" w14:textId="77777777" w:rsidTr="00AB79D6">
        <w:trPr>
          <w:trHeight w:val="300"/>
        </w:trPr>
        <w:tc>
          <w:tcPr>
            <w:tcW w:w="35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02010EA" w14:textId="77777777" w:rsidR="00AB79D6" w:rsidRPr="00AB79D6" w:rsidRDefault="00AB79D6" w:rsidP="00AB79D6">
            <w:pPr>
              <w:jc w:val="center"/>
              <w:rPr>
                <w:rFonts w:ascii="Calibri" w:eastAsia="Times New Roman" w:hAnsi="Calibri" w:cs="Times New Roman"/>
                <w:b/>
                <w:bCs/>
                <w:color w:val="000000"/>
              </w:rPr>
            </w:pPr>
            <w:r w:rsidRPr="00AB79D6">
              <w:rPr>
                <w:rFonts w:ascii="Calibri" w:eastAsia="Times New Roman" w:hAnsi="Calibri" w:cs="Times New Roman"/>
                <w:b/>
                <w:bCs/>
                <w:color w:val="000000"/>
              </w:rPr>
              <w:t>Average</w:t>
            </w:r>
          </w:p>
        </w:tc>
        <w:tc>
          <w:tcPr>
            <w:tcW w:w="2160" w:type="dxa"/>
            <w:tcBorders>
              <w:top w:val="single" w:sz="8" w:space="0" w:color="auto"/>
              <w:left w:val="nil"/>
              <w:bottom w:val="single" w:sz="4" w:space="0" w:color="auto"/>
              <w:right w:val="single" w:sz="8" w:space="0" w:color="auto"/>
            </w:tcBorders>
            <w:shd w:val="clear" w:color="auto" w:fill="auto"/>
            <w:noWrap/>
            <w:vAlign w:val="bottom"/>
            <w:hideMark/>
          </w:tcPr>
          <w:p w14:paraId="693593CF" w14:textId="77777777" w:rsidR="00AB79D6" w:rsidRPr="00AB79D6" w:rsidRDefault="00AB79D6" w:rsidP="00AB79D6">
            <w:pPr>
              <w:jc w:val="center"/>
              <w:rPr>
                <w:rFonts w:ascii="Calibri" w:eastAsia="Times New Roman" w:hAnsi="Calibri" w:cs="Times New Roman"/>
                <w:color w:val="000000"/>
              </w:rPr>
            </w:pPr>
            <w:r w:rsidRPr="00AB79D6">
              <w:rPr>
                <w:rFonts w:ascii="Calibri" w:eastAsia="Times New Roman" w:hAnsi="Calibri" w:cs="Times New Roman"/>
                <w:color w:val="000000"/>
              </w:rPr>
              <w:t>351942.2281</w:t>
            </w:r>
          </w:p>
        </w:tc>
      </w:tr>
      <w:tr w:rsidR="00AB79D6" w:rsidRPr="00AB79D6" w14:paraId="7A78449E" w14:textId="77777777" w:rsidTr="00AB79D6">
        <w:trPr>
          <w:trHeight w:val="300"/>
        </w:trPr>
        <w:tc>
          <w:tcPr>
            <w:tcW w:w="3520" w:type="dxa"/>
            <w:tcBorders>
              <w:top w:val="nil"/>
              <w:left w:val="single" w:sz="8" w:space="0" w:color="auto"/>
              <w:bottom w:val="single" w:sz="4" w:space="0" w:color="auto"/>
              <w:right w:val="single" w:sz="4" w:space="0" w:color="auto"/>
            </w:tcBorders>
            <w:shd w:val="clear" w:color="auto" w:fill="auto"/>
            <w:noWrap/>
            <w:vAlign w:val="bottom"/>
            <w:hideMark/>
          </w:tcPr>
          <w:p w14:paraId="5390039A" w14:textId="77777777" w:rsidR="00AB79D6" w:rsidRPr="00AB79D6" w:rsidRDefault="00AB79D6" w:rsidP="00AB79D6">
            <w:pPr>
              <w:jc w:val="center"/>
              <w:rPr>
                <w:rFonts w:ascii="Calibri" w:eastAsia="Times New Roman" w:hAnsi="Calibri" w:cs="Times New Roman"/>
                <w:b/>
                <w:bCs/>
                <w:color w:val="000000"/>
              </w:rPr>
            </w:pPr>
            <w:r w:rsidRPr="00AB79D6">
              <w:rPr>
                <w:rFonts w:ascii="Calibri" w:eastAsia="Times New Roman" w:hAnsi="Calibri" w:cs="Times New Roman"/>
                <w:b/>
                <w:bCs/>
                <w:color w:val="000000"/>
              </w:rPr>
              <w:t>Shortest Length</w:t>
            </w:r>
          </w:p>
        </w:tc>
        <w:tc>
          <w:tcPr>
            <w:tcW w:w="2160" w:type="dxa"/>
            <w:tcBorders>
              <w:top w:val="nil"/>
              <w:left w:val="nil"/>
              <w:bottom w:val="single" w:sz="4" w:space="0" w:color="auto"/>
              <w:right w:val="single" w:sz="8" w:space="0" w:color="auto"/>
            </w:tcBorders>
            <w:shd w:val="clear" w:color="auto" w:fill="auto"/>
            <w:noWrap/>
            <w:vAlign w:val="bottom"/>
            <w:hideMark/>
          </w:tcPr>
          <w:p w14:paraId="56E7175E" w14:textId="77777777" w:rsidR="00AB79D6" w:rsidRPr="00AB79D6" w:rsidRDefault="00AB79D6" w:rsidP="00AB79D6">
            <w:pPr>
              <w:jc w:val="center"/>
              <w:rPr>
                <w:rFonts w:ascii="Calibri" w:eastAsia="Times New Roman" w:hAnsi="Calibri" w:cs="Times New Roman"/>
                <w:color w:val="000000"/>
              </w:rPr>
            </w:pPr>
            <w:r w:rsidRPr="00AB79D6">
              <w:rPr>
                <w:rFonts w:ascii="Calibri" w:eastAsia="Times New Roman" w:hAnsi="Calibri" w:cs="Times New Roman"/>
                <w:color w:val="000000"/>
              </w:rPr>
              <w:t>126641</w:t>
            </w:r>
          </w:p>
        </w:tc>
      </w:tr>
      <w:tr w:rsidR="00AB79D6" w:rsidRPr="00AB79D6" w14:paraId="474F9940" w14:textId="77777777" w:rsidTr="00AB79D6">
        <w:trPr>
          <w:trHeight w:val="300"/>
        </w:trPr>
        <w:tc>
          <w:tcPr>
            <w:tcW w:w="3520" w:type="dxa"/>
            <w:tcBorders>
              <w:top w:val="nil"/>
              <w:left w:val="single" w:sz="8" w:space="0" w:color="auto"/>
              <w:bottom w:val="single" w:sz="4" w:space="0" w:color="auto"/>
              <w:right w:val="single" w:sz="4" w:space="0" w:color="auto"/>
            </w:tcBorders>
            <w:shd w:val="clear" w:color="auto" w:fill="auto"/>
            <w:noWrap/>
            <w:vAlign w:val="bottom"/>
            <w:hideMark/>
          </w:tcPr>
          <w:p w14:paraId="72ED4892" w14:textId="77777777" w:rsidR="00AB79D6" w:rsidRPr="00AB79D6" w:rsidRDefault="00AB79D6" w:rsidP="00AB79D6">
            <w:pPr>
              <w:jc w:val="center"/>
              <w:rPr>
                <w:rFonts w:ascii="Calibri" w:eastAsia="Times New Roman" w:hAnsi="Calibri" w:cs="Times New Roman"/>
                <w:b/>
                <w:bCs/>
                <w:color w:val="000000"/>
              </w:rPr>
            </w:pPr>
            <w:r w:rsidRPr="00AB79D6">
              <w:rPr>
                <w:rFonts w:ascii="Calibri" w:eastAsia="Times New Roman" w:hAnsi="Calibri" w:cs="Times New Roman"/>
                <w:b/>
                <w:bCs/>
                <w:color w:val="000000"/>
              </w:rPr>
              <w:t>Longest Length</w:t>
            </w:r>
          </w:p>
        </w:tc>
        <w:tc>
          <w:tcPr>
            <w:tcW w:w="2160" w:type="dxa"/>
            <w:tcBorders>
              <w:top w:val="nil"/>
              <w:left w:val="nil"/>
              <w:bottom w:val="single" w:sz="4" w:space="0" w:color="auto"/>
              <w:right w:val="single" w:sz="8" w:space="0" w:color="auto"/>
            </w:tcBorders>
            <w:shd w:val="clear" w:color="auto" w:fill="auto"/>
            <w:noWrap/>
            <w:vAlign w:val="bottom"/>
            <w:hideMark/>
          </w:tcPr>
          <w:p w14:paraId="14060DE4" w14:textId="77777777" w:rsidR="00AB79D6" w:rsidRPr="00AB79D6" w:rsidRDefault="00AB79D6" w:rsidP="00AB79D6">
            <w:pPr>
              <w:jc w:val="center"/>
              <w:rPr>
                <w:rFonts w:ascii="Calibri" w:eastAsia="Times New Roman" w:hAnsi="Calibri" w:cs="Times New Roman"/>
                <w:color w:val="000000"/>
              </w:rPr>
            </w:pPr>
            <w:r w:rsidRPr="00AB79D6">
              <w:rPr>
                <w:rFonts w:ascii="Calibri" w:eastAsia="Times New Roman" w:hAnsi="Calibri" w:cs="Times New Roman"/>
                <w:color w:val="000000"/>
              </w:rPr>
              <w:t>1612329</w:t>
            </w:r>
          </w:p>
        </w:tc>
      </w:tr>
      <w:tr w:rsidR="00AB79D6" w:rsidRPr="00AB79D6" w14:paraId="1BFA4566" w14:textId="77777777" w:rsidTr="00AB79D6">
        <w:trPr>
          <w:trHeight w:val="300"/>
        </w:trPr>
        <w:tc>
          <w:tcPr>
            <w:tcW w:w="3520" w:type="dxa"/>
            <w:tcBorders>
              <w:top w:val="nil"/>
              <w:left w:val="single" w:sz="8" w:space="0" w:color="auto"/>
              <w:bottom w:val="single" w:sz="4" w:space="0" w:color="auto"/>
              <w:right w:val="single" w:sz="4" w:space="0" w:color="auto"/>
            </w:tcBorders>
            <w:shd w:val="clear" w:color="auto" w:fill="auto"/>
            <w:noWrap/>
            <w:vAlign w:val="bottom"/>
            <w:hideMark/>
          </w:tcPr>
          <w:p w14:paraId="53B719A5" w14:textId="77777777" w:rsidR="00AB79D6" w:rsidRPr="00AB79D6" w:rsidRDefault="00AB79D6" w:rsidP="00AB79D6">
            <w:pPr>
              <w:jc w:val="center"/>
              <w:rPr>
                <w:rFonts w:ascii="Calibri" w:eastAsia="Times New Roman" w:hAnsi="Calibri" w:cs="Times New Roman"/>
                <w:b/>
                <w:bCs/>
                <w:color w:val="000000"/>
              </w:rPr>
            </w:pPr>
            <w:r w:rsidRPr="00AB79D6">
              <w:rPr>
                <w:rFonts w:ascii="Calibri" w:eastAsia="Times New Roman" w:hAnsi="Calibri" w:cs="Times New Roman"/>
                <w:b/>
                <w:bCs/>
                <w:color w:val="000000"/>
              </w:rPr>
              <w:t xml:space="preserve"># </w:t>
            </w:r>
            <w:proofErr w:type="gramStart"/>
            <w:r w:rsidRPr="00AB79D6">
              <w:rPr>
                <w:rFonts w:ascii="Calibri" w:eastAsia="Times New Roman" w:hAnsi="Calibri" w:cs="Times New Roman"/>
                <w:b/>
                <w:bCs/>
                <w:color w:val="000000"/>
              </w:rPr>
              <w:t>of</w:t>
            </w:r>
            <w:proofErr w:type="gramEnd"/>
            <w:r w:rsidRPr="00AB79D6">
              <w:rPr>
                <w:rFonts w:ascii="Calibri" w:eastAsia="Times New Roman" w:hAnsi="Calibri" w:cs="Times New Roman"/>
                <w:b/>
                <w:bCs/>
                <w:color w:val="000000"/>
              </w:rPr>
              <w:t xml:space="preserve"> Songs Above Average</w:t>
            </w:r>
          </w:p>
        </w:tc>
        <w:tc>
          <w:tcPr>
            <w:tcW w:w="2160" w:type="dxa"/>
            <w:tcBorders>
              <w:top w:val="nil"/>
              <w:left w:val="nil"/>
              <w:bottom w:val="single" w:sz="4" w:space="0" w:color="auto"/>
              <w:right w:val="single" w:sz="8" w:space="0" w:color="auto"/>
            </w:tcBorders>
            <w:shd w:val="clear" w:color="auto" w:fill="auto"/>
            <w:noWrap/>
            <w:vAlign w:val="bottom"/>
            <w:hideMark/>
          </w:tcPr>
          <w:p w14:paraId="325FB046" w14:textId="77777777" w:rsidR="00AB79D6" w:rsidRPr="00AB79D6" w:rsidRDefault="00AB79D6" w:rsidP="00AB79D6">
            <w:pPr>
              <w:jc w:val="center"/>
              <w:rPr>
                <w:rFonts w:ascii="Calibri" w:eastAsia="Times New Roman" w:hAnsi="Calibri" w:cs="Times New Roman"/>
                <w:color w:val="000000"/>
              </w:rPr>
            </w:pPr>
            <w:r w:rsidRPr="00AB79D6">
              <w:rPr>
                <w:rFonts w:ascii="Calibri" w:eastAsia="Times New Roman" w:hAnsi="Calibri" w:cs="Times New Roman"/>
                <w:color w:val="000000"/>
              </w:rPr>
              <w:t>39</w:t>
            </w:r>
          </w:p>
        </w:tc>
      </w:tr>
      <w:tr w:rsidR="00AB79D6" w:rsidRPr="00AB79D6" w14:paraId="1129B2E2" w14:textId="77777777" w:rsidTr="00AB79D6">
        <w:trPr>
          <w:trHeight w:val="300"/>
        </w:trPr>
        <w:tc>
          <w:tcPr>
            <w:tcW w:w="3520" w:type="dxa"/>
            <w:tcBorders>
              <w:top w:val="nil"/>
              <w:left w:val="single" w:sz="8" w:space="0" w:color="auto"/>
              <w:bottom w:val="single" w:sz="4" w:space="0" w:color="auto"/>
              <w:right w:val="single" w:sz="4" w:space="0" w:color="auto"/>
            </w:tcBorders>
            <w:shd w:val="clear" w:color="auto" w:fill="auto"/>
            <w:noWrap/>
            <w:vAlign w:val="bottom"/>
            <w:hideMark/>
          </w:tcPr>
          <w:p w14:paraId="6B4516F8" w14:textId="77777777" w:rsidR="00AB79D6" w:rsidRPr="00AB79D6" w:rsidRDefault="00AB79D6" w:rsidP="00AB79D6">
            <w:pPr>
              <w:jc w:val="center"/>
              <w:rPr>
                <w:rFonts w:ascii="Calibri" w:eastAsia="Times New Roman" w:hAnsi="Calibri" w:cs="Times New Roman"/>
                <w:b/>
                <w:bCs/>
                <w:color w:val="000000"/>
              </w:rPr>
            </w:pPr>
            <w:r w:rsidRPr="00AB79D6">
              <w:rPr>
                <w:rFonts w:ascii="Calibri" w:eastAsia="Times New Roman" w:hAnsi="Calibri" w:cs="Times New Roman"/>
                <w:b/>
                <w:bCs/>
                <w:color w:val="000000"/>
              </w:rPr>
              <w:t>Standard Deviation</w:t>
            </w:r>
          </w:p>
        </w:tc>
        <w:tc>
          <w:tcPr>
            <w:tcW w:w="2160" w:type="dxa"/>
            <w:tcBorders>
              <w:top w:val="nil"/>
              <w:left w:val="nil"/>
              <w:bottom w:val="single" w:sz="4" w:space="0" w:color="auto"/>
              <w:right w:val="single" w:sz="8" w:space="0" w:color="auto"/>
            </w:tcBorders>
            <w:shd w:val="clear" w:color="auto" w:fill="auto"/>
            <w:noWrap/>
            <w:vAlign w:val="bottom"/>
            <w:hideMark/>
          </w:tcPr>
          <w:p w14:paraId="548F1BC8" w14:textId="77777777" w:rsidR="00AB79D6" w:rsidRPr="00AB79D6" w:rsidRDefault="00AB79D6" w:rsidP="00AB79D6">
            <w:pPr>
              <w:jc w:val="center"/>
              <w:rPr>
                <w:rFonts w:ascii="Calibri" w:eastAsia="Times New Roman" w:hAnsi="Calibri" w:cs="Times New Roman"/>
                <w:color w:val="000000"/>
              </w:rPr>
            </w:pPr>
            <w:r w:rsidRPr="00AB79D6">
              <w:rPr>
                <w:rFonts w:ascii="Calibri" w:eastAsia="Times New Roman" w:hAnsi="Calibri" w:cs="Times New Roman"/>
                <w:color w:val="000000"/>
              </w:rPr>
              <w:t>206585.833</w:t>
            </w:r>
          </w:p>
        </w:tc>
      </w:tr>
      <w:tr w:rsidR="00AB79D6" w:rsidRPr="00AB79D6" w14:paraId="3EFE4A1F" w14:textId="77777777" w:rsidTr="00AB79D6">
        <w:trPr>
          <w:trHeight w:val="320"/>
        </w:trPr>
        <w:tc>
          <w:tcPr>
            <w:tcW w:w="3520" w:type="dxa"/>
            <w:tcBorders>
              <w:top w:val="nil"/>
              <w:left w:val="single" w:sz="8" w:space="0" w:color="auto"/>
              <w:bottom w:val="single" w:sz="8" w:space="0" w:color="auto"/>
              <w:right w:val="single" w:sz="4" w:space="0" w:color="auto"/>
            </w:tcBorders>
            <w:shd w:val="clear" w:color="auto" w:fill="auto"/>
            <w:noWrap/>
            <w:vAlign w:val="bottom"/>
            <w:hideMark/>
          </w:tcPr>
          <w:p w14:paraId="07C038CF" w14:textId="77777777" w:rsidR="00AB79D6" w:rsidRPr="00AB79D6" w:rsidRDefault="00AB79D6" w:rsidP="00AB79D6">
            <w:pPr>
              <w:jc w:val="center"/>
              <w:rPr>
                <w:rFonts w:ascii="Calibri" w:eastAsia="Times New Roman" w:hAnsi="Calibri" w:cs="Times New Roman"/>
                <w:b/>
                <w:bCs/>
                <w:color w:val="000000"/>
              </w:rPr>
            </w:pPr>
            <w:r w:rsidRPr="00AB79D6">
              <w:rPr>
                <w:rFonts w:ascii="Calibri" w:eastAsia="Times New Roman" w:hAnsi="Calibri" w:cs="Times New Roman"/>
                <w:b/>
                <w:bCs/>
                <w:color w:val="000000"/>
              </w:rPr>
              <w:t>Median</w:t>
            </w:r>
          </w:p>
        </w:tc>
        <w:tc>
          <w:tcPr>
            <w:tcW w:w="2160" w:type="dxa"/>
            <w:tcBorders>
              <w:top w:val="nil"/>
              <w:left w:val="nil"/>
              <w:bottom w:val="single" w:sz="8" w:space="0" w:color="auto"/>
              <w:right w:val="single" w:sz="8" w:space="0" w:color="auto"/>
            </w:tcBorders>
            <w:shd w:val="clear" w:color="auto" w:fill="auto"/>
            <w:noWrap/>
            <w:vAlign w:val="bottom"/>
            <w:hideMark/>
          </w:tcPr>
          <w:p w14:paraId="74501338" w14:textId="77777777" w:rsidR="00AB79D6" w:rsidRPr="00AB79D6" w:rsidRDefault="00AB79D6" w:rsidP="00AB79D6">
            <w:pPr>
              <w:jc w:val="center"/>
              <w:rPr>
                <w:rFonts w:ascii="Calibri" w:eastAsia="Times New Roman" w:hAnsi="Calibri" w:cs="Times New Roman"/>
                <w:color w:val="000000"/>
              </w:rPr>
            </w:pPr>
            <w:r w:rsidRPr="00AB79D6">
              <w:rPr>
                <w:rFonts w:ascii="Calibri" w:eastAsia="Times New Roman" w:hAnsi="Calibri" w:cs="Times New Roman"/>
                <w:color w:val="000000"/>
              </w:rPr>
              <w:t>289031</w:t>
            </w:r>
          </w:p>
        </w:tc>
      </w:tr>
    </w:tbl>
    <w:p w14:paraId="7C9F0E84" w14:textId="0F2ECEA6" w:rsidR="00A77266" w:rsidRDefault="00A77266">
      <w:r w:rsidRPr="006D737D">
        <w:rPr>
          <w:b/>
        </w:rPr>
        <w:t>Table 4a</w:t>
      </w:r>
      <w:r>
        <w:t>: Comparison Values</w:t>
      </w:r>
    </w:p>
    <w:p w14:paraId="51E4217B" w14:textId="77777777" w:rsidR="006D737D" w:rsidRDefault="006D737D"/>
    <w:p w14:paraId="720BF081" w14:textId="76DF7710" w:rsidR="00276D0F" w:rsidRDefault="006D737D">
      <w:r w:rsidRPr="006D737D">
        <w:rPr>
          <w:b/>
        </w:rPr>
        <w:t>Conclusion</w:t>
      </w:r>
      <w:r>
        <w:t xml:space="preserve">: </w:t>
      </w:r>
      <w:r w:rsidR="000E279C">
        <w:t xml:space="preserve">The average length of Led Zeppelin’s music is about </w:t>
      </w:r>
      <w:r w:rsidR="000E279C" w:rsidRPr="001564CC">
        <w:rPr>
          <w:b/>
        </w:rPr>
        <w:t>351,942 milliseconds.</w:t>
      </w:r>
      <w:r w:rsidR="000E279C">
        <w:t xml:space="preserve"> There are </w:t>
      </w:r>
      <w:r w:rsidR="000E279C" w:rsidRPr="001564CC">
        <w:rPr>
          <w:b/>
        </w:rPr>
        <w:t>114 tracks</w:t>
      </w:r>
      <w:r w:rsidR="000E279C">
        <w:t xml:space="preserve"> under Led Zeppelin’s name. Out of them all</w:t>
      </w:r>
      <w:r w:rsidR="001564CC">
        <w:t xml:space="preserve"> </w:t>
      </w:r>
      <w:r w:rsidR="00802978">
        <w:rPr>
          <w:b/>
        </w:rPr>
        <w:t>39</w:t>
      </w:r>
      <w:r w:rsidR="001564CC" w:rsidRPr="001564CC">
        <w:rPr>
          <w:b/>
        </w:rPr>
        <w:t xml:space="preserve"> tracks</w:t>
      </w:r>
      <w:r w:rsidR="001564CC">
        <w:t xml:space="preserve"> have lengths that are above the average length of all his music. </w:t>
      </w:r>
      <w:r>
        <w:t xml:space="preserve">We also see than half of the music lengths are longer than 289,031 milliseconds and half of the music lengths are shorter than that. </w:t>
      </w:r>
      <w:r w:rsidR="001564CC">
        <w:t xml:space="preserve">Led Zeppelin’s shortest and longest song lengths are </w:t>
      </w:r>
      <w:r w:rsidR="001564CC" w:rsidRPr="00AB79D6">
        <w:rPr>
          <w:b/>
        </w:rPr>
        <w:t>126,641</w:t>
      </w:r>
      <w:r w:rsidR="001564CC">
        <w:t xml:space="preserve"> and </w:t>
      </w:r>
      <w:r w:rsidR="001564CC" w:rsidRPr="00AB79D6">
        <w:rPr>
          <w:b/>
        </w:rPr>
        <w:t>1,612,329</w:t>
      </w:r>
      <w:r w:rsidR="001564CC">
        <w:t xml:space="preserve"> milliseconds respectively. His longest song has a length that is about 4.5 times the average.</w:t>
      </w:r>
      <w:r>
        <w:t xml:space="preserve"> </w:t>
      </w:r>
    </w:p>
    <w:p w14:paraId="37E5540F" w14:textId="77777777" w:rsidR="006D737D" w:rsidRDefault="006D737D"/>
    <w:p w14:paraId="73467C6C" w14:textId="04A8C125" w:rsidR="00653448" w:rsidRDefault="006D737D">
      <w:r>
        <w:t>Another insight to note is that the average is larger than the mean. We can assume that the curve distribution with be skewed to the right, which is proven in Figure 4.1 below:</w:t>
      </w:r>
    </w:p>
    <w:p w14:paraId="547C3FE1" w14:textId="77777777" w:rsidR="00653448" w:rsidRDefault="00653448"/>
    <w:p w14:paraId="722027CE" w14:textId="1D18EDA4" w:rsidR="00653448" w:rsidRDefault="00653448">
      <w:r>
        <w:rPr>
          <w:noProof/>
        </w:rPr>
        <w:drawing>
          <wp:inline distT="0" distB="0" distL="0" distR="0" wp14:anchorId="6061648C" wp14:editId="60B38B66">
            <wp:extent cx="6743700" cy="4035669"/>
            <wp:effectExtent l="0" t="0" r="12700" b="285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27EB80" w14:textId="5B9B9B0C" w:rsidR="00E11019" w:rsidRDefault="00AB79D6">
      <w:r w:rsidRPr="00AB79D6">
        <w:rPr>
          <w:b/>
        </w:rPr>
        <w:t>Figure 4.1</w:t>
      </w:r>
      <w:r>
        <w:t>: Curve Distribution of Led Zeppelin’s Song Length</w:t>
      </w:r>
    </w:p>
    <w:p w14:paraId="27827A39" w14:textId="77777777" w:rsidR="00E11019" w:rsidRDefault="00E11019"/>
    <w:p w14:paraId="0524B729" w14:textId="02311B15" w:rsidR="00774DE5" w:rsidRDefault="00AB79D6">
      <w:r>
        <w:t>From Figure 4.1, we see that the curve somewhat resembles a normal distribution. This could be due to large outliers stretching the data. This is supported by the fact that we have a large standard deviation of 206,585 because the larger the standard deviation, the wider</w:t>
      </w:r>
      <w:r w:rsidR="00491D5A">
        <w:t xml:space="preserve"> the spread of the data points.</w:t>
      </w:r>
    </w:p>
    <w:sectPr w:rsidR="00774DE5" w:rsidSect="00774D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DE5"/>
    <w:rsid w:val="0005005D"/>
    <w:rsid w:val="00067CBB"/>
    <w:rsid w:val="000A3CA1"/>
    <w:rsid w:val="000E279C"/>
    <w:rsid w:val="001564CC"/>
    <w:rsid w:val="0019290C"/>
    <w:rsid w:val="001E66DC"/>
    <w:rsid w:val="00244150"/>
    <w:rsid w:val="0025727A"/>
    <w:rsid w:val="00276D0F"/>
    <w:rsid w:val="0029414F"/>
    <w:rsid w:val="00357EF7"/>
    <w:rsid w:val="00393EA4"/>
    <w:rsid w:val="003B1856"/>
    <w:rsid w:val="003D21AF"/>
    <w:rsid w:val="003E4791"/>
    <w:rsid w:val="003E4D48"/>
    <w:rsid w:val="004224A9"/>
    <w:rsid w:val="00491D5A"/>
    <w:rsid w:val="004A4E34"/>
    <w:rsid w:val="00612B50"/>
    <w:rsid w:val="00622871"/>
    <w:rsid w:val="00653448"/>
    <w:rsid w:val="006A150D"/>
    <w:rsid w:val="006D737D"/>
    <w:rsid w:val="0075600F"/>
    <w:rsid w:val="00774DE5"/>
    <w:rsid w:val="0078250C"/>
    <w:rsid w:val="00795B8B"/>
    <w:rsid w:val="00802978"/>
    <w:rsid w:val="00824300"/>
    <w:rsid w:val="0082501B"/>
    <w:rsid w:val="008B1CA4"/>
    <w:rsid w:val="008D73A0"/>
    <w:rsid w:val="0091037E"/>
    <w:rsid w:val="00A77266"/>
    <w:rsid w:val="00AB79D6"/>
    <w:rsid w:val="00AD35D8"/>
    <w:rsid w:val="00B600F7"/>
    <w:rsid w:val="00BA38DF"/>
    <w:rsid w:val="00BD08DA"/>
    <w:rsid w:val="00C051B4"/>
    <w:rsid w:val="00C70FF0"/>
    <w:rsid w:val="00CC6A4A"/>
    <w:rsid w:val="00DA08DF"/>
    <w:rsid w:val="00E11019"/>
    <w:rsid w:val="00E869CF"/>
    <w:rsid w:val="00EA68E2"/>
    <w:rsid w:val="00EF129A"/>
    <w:rsid w:val="00F67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BECE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8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8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8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8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26841">
      <w:bodyDiv w:val="1"/>
      <w:marLeft w:val="0"/>
      <w:marRight w:val="0"/>
      <w:marTop w:val="0"/>
      <w:marBottom w:val="0"/>
      <w:divBdr>
        <w:top w:val="none" w:sz="0" w:space="0" w:color="auto"/>
        <w:left w:val="none" w:sz="0" w:space="0" w:color="auto"/>
        <w:bottom w:val="none" w:sz="0" w:space="0" w:color="auto"/>
        <w:right w:val="none" w:sz="0" w:space="0" w:color="auto"/>
      </w:divBdr>
    </w:div>
    <w:div w:id="907035507">
      <w:bodyDiv w:val="1"/>
      <w:marLeft w:val="0"/>
      <w:marRight w:val="0"/>
      <w:marTop w:val="0"/>
      <w:marBottom w:val="0"/>
      <w:divBdr>
        <w:top w:val="none" w:sz="0" w:space="0" w:color="auto"/>
        <w:left w:val="none" w:sz="0" w:space="0" w:color="auto"/>
        <w:bottom w:val="none" w:sz="0" w:space="0" w:color="auto"/>
        <w:right w:val="none" w:sz="0" w:space="0" w:color="auto"/>
      </w:divBdr>
    </w:div>
    <w:div w:id="1032270269">
      <w:bodyDiv w:val="1"/>
      <w:marLeft w:val="0"/>
      <w:marRight w:val="0"/>
      <w:marTop w:val="0"/>
      <w:marBottom w:val="0"/>
      <w:divBdr>
        <w:top w:val="none" w:sz="0" w:space="0" w:color="auto"/>
        <w:left w:val="none" w:sz="0" w:space="0" w:color="auto"/>
        <w:bottom w:val="none" w:sz="0" w:space="0" w:color="auto"/>
        <w:right w:val="none" w:sz="0" w:space="0" w:color="auto"/>
      </w:divBdr>
    </w:div>
    <w:div w:id="1056858175">
      <w:bodyDiv w:val="1"/>
      <w:marLeft w:val="0"/>
      <w:marRight w:val="0"/>
      <w:marTop w:val="0"/>
      <w:marBottom w:val="0"/>
      <w:divBdr>
        <w:top w:val="none" w:sz="0" w:space="0" w:color="auto"/>
        <w:left w:val="none" w:sz="0" w:space="0" w:color="auto"/>
        <w:bottom w:val="none" w:sz="0" w:space="0" w:color="auto"/>
        <w:right w:val="none" w:sz="0" w:space="0" w:color="auto"/>
      </w:divBdr>
    </w:div>
    <w:div w:id="1132360023">
      <w:bodyDiv w:val="1"/>
      <w:marLeft w:val="0"/>
      <w:marRight w:val="0"/>
      <w:marTop w:val="0"/>
      <w:marBottom w:val="0"/>
      <w:divBdr>
        <w:top w:val="none" w:sz="0" w:space="0" w:color="auto"/>
        <w:left w:val="none" w:sz="0" w:space="0" w:color="auto"/>
        <w:bottom w:val="none" w:sz="0" w:space="0" w:color="auto"/>
        <w:right w:val="none" w:sz="0" w:space="0" w:color="auto"/>
      </w:divBdr>
    </w:div>
    <w:div w:id="1410007334">
      <w:bodyDiv w:val="1"/>
      <w:marLeft w:val="0"/>
      <w:marRight w:val="0"/>
      <w:marTop w:val="0"/>
      <w:marBottom w:val="0"/>
      <w:divBdr>
        <w:top w:val="none" w:sz="0" w:space="0" w:color="auto"/>
        <w:left w:val="none" w:sz="0" w:space="0" w:color="auto"/>
        <w:bottom w:val="none" w:sz="0" w:space="0" w:color="auto"/>
        <w:right w:val="none" w:sz="0" w:space="0" w:color="auto"/>
      </w:divBdr>
    </w:div>
    <w:div w:id="1978755109">
      <w:bodyDiv w:val="1"/>
      <w:marLeft w:val="0"/>
      <w:marRight w:val="0"/>
      <w:marTop w:val="0"/>
      <w:marBottom w:val="0"/>
      <w:divBdr>
        <w:top w:val="none" w:sz="0" w:space="0" w:color="auto"/>
        <w:left w:val="none" w:sz="0" w:space="0" w:color="auto"/>
        <w:bottom w:val="none" w:sz="0" w:space="0" w:color="auto"/>
        <w:right w:val="none" w:sz="0" w:space="0" w:color="auto"/>
      </w:divBdr>
    </w:div>
    <w:div w:id="2136101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hart" Target="charts/chart2.xml"/><Relationship Id="rId9" Type="http://schemas.openxmlformats.org/officeDocument/2006/relationships/image" Target="media/image3.png"/><Relationship Id="rId10" Type="http://schemas.openxmlformats.org/officeDocument/2006/relationships/image" Target="media/image30.png"/></Relationships>
</file>

<file path=word/charts/_rels/chart1.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Winnie:Desktop:Udacity:SQL%20Project%20Submission:Excel%20-%20SQL%20Result%20Submiss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Genre</a:t>
            </a:r>
            <a:r>
              <a:rPr lang="en-US" baseline="0"/>
              <a:t> Sales in France</a:t>
            </a:r>
            <a:endParaRPr lang="en-US"/>
          </a:p>
        </c:rich>
      </c:tx>
      <c:layout/>
      <c:overlay val="0"/>
    </c:title>
    <c:autoTitleDeleted val="0"/>
    <c:plotArea>
      <c:layout/>
      <c:barChart>
        <c:barDir val="col"/>
        <c:grouping val="stacked"/>
        <c:varyColors val="0"/>
        <c:ser>
          <c:idx val="0"/>
          <c:order val="0"/>
          <c:invertIfNegative val="0"/>
          <c:cat>
            <c:strRef>
              <c:f>Sheet1!$A$1:$A$18</c:f>
              <c:strCache>
                <c:ptCount val="18"/>
                <c:pt idx="0">
                  <c:v>Rock</c:v>
                </c:pt>
                <c:pt idx="1">
                  <c:v>Alternative &amp; Punk</c:v>
                </c:pt>
                <c:pt idx="2">
                  <c:v>Latin</c:v>
                </c:pt>
                <c:pt idx="3">
                  <c:v>Metal</c:v>
                </c:pt>
                <c:pt idx="4">
                  <c:v>Jazz</c:v>
                </c:pt>
                <c:pt idx="5">
                  <c:v>Classical</c:v>
                </c:pt>
                <c:pt idx="6">
                  <c:v>Drama</c:v>
                </c:pt>
                <c:pt idx="7">
                  <c:v>Soundtrack</c:v>
                </c:pt>
                <c:pt idx="8">
                  <c:v>Sci Fi &amp; Fantasy</c:v>
                </c:pt>
                <c:pt idx="9">
                  <c:v>Alternative</c:v>
                </c:pt>
                <c:pt idx="10">
                  <c:v>TV Shows</c:v>
                </c:pt>
                <c:pt idx="11">
                  <c:v>Blues</c:v>
                </c:pt>
                <c:pt idx="12">
                  <c:v>Electronica/Dance</c:v>
                </c:pt>
                <c:pt idx="13">
                  <c:v>Hip Hop/Rap</c:v>
                </c:pt>
                <c:pt idx="14">
                  <c:v>Pop</c:v>
                </c:pt>
                <c:pt idx="15">
                  <c:v>Bossa Nova</c:v>
                </c:pt>
                <c:pt idx="16">
                  <c:v>Reggae</c:v>
                </c:pt>
                <c:pt idx="17">
                  <c:v>Rock And Roll</c:v>
                </c:pt>
              </c:strCache>
            </c:strRef>
          </c:cat>
          <c:val>
            <c:numRef>
              <c:f>Sheet1!$B$1:$B$18</c:f>
              <c:numCache>
                <c:formatCode>"$"#,##0.00;[Red]"$"#,##0.00</c:formatCode>
                <c:ptCount val="18"/>
                <c:pt idx="0">
                  <c:v>64.35</c:v>
                </c:pt>
                <c:pt idx="1">
                  <c:v>30.69</c:v>
                </c:pt>
                <c:pt idx="2">
                  <c:v>25.74</c:v>
                </c:pt>
                <c:pt idx="3">
                  <c:v>19.8</c:v>
                </c:pt>
                <c:pt idx="4">
                  <c:v>10.89</c:v>
                </c:pt>
                <c:pt idx="5">
                  <c:v>9.9</c:v>
                </c:pt>
                <c:pt idx="6">
                  <c:v>7.96</c:v>
                </c:pt>
                <c:pt idx="7">
                  <c:v>4.95</c:v>
                </c:pt>
                <c:pt idx="8">
                  <c:v>3.98</c:v>
                </c:pt>
                <c:pt idx="9">
                  <c:v>3.96</c:v>
                </c:pt>
                <c:pt idx="10">
                  <c:v>1.99</c:v>
                </c:pt>
                <c:pt idx="11">
                  <c:v>1.98</c:v>
                </c:pt>
                <c:pt idx="12">
                  <c:v>1.98</c:v>
                </c:pt>
                <c:pt idx="13">
                  <c:v>1.98</c:v>
                </c:pt>
                <c:pt idx="14">
                  <c:v>1.98</c:v>
                </c:pt>
                <c:pt idx="15">
                  <c:v>0.99</c:v>
                </c:pt>
                <c:pt idx="16">
                  <c:v>0.99</c:v>
                </c:pt>
                <c:pt idx="17">
                  <c:v>0.99</c:v>
                </c:pt>
              </c:numCache>
            </c:numRef>
          </c:val>
        </c:ser>
        <c:dLbls>
          <c:showLegendKey val="0"/>
          <c:showVal val="0"/>
          <c:showCatName val="0"/>
          <c:showSerName val="0"/>
          <c:showPercent val="0"/>
          <c:showBubbleSize val="0"/>
        </c:dLbls>
        <c:gapWidth val="150"/>
        <c:overlap val="100"/>
        <c:axId val="-2138192952"/>
        <c:axId val="2136196376"/>
      </c:barChart>
      <c:catAx>
        <c:axId val="-2138192952"/>
        <c:scaling>
          <c:orientation val="minMax"/>
        </c:scaling>
        <c:delete val="0"/>
        <c:axPos val="b"/>
        <c:title>
          <c:tx>
            <c:rich>
              <a:bodyPr/>
              <a:lstStyle/>
              <a:p>
                <a:pPr>
                  <a:defRPr/>
                </a:pPr>
                <a:r>
                  <a:rPr lang="en-US"/>
                  <a:t>Genre</a:t>
                </a:r>
              </a:p>
            </c:rich>
          </c:tx>
          <c:layout>
            <c:manualLayout>
              <c:xMode val="edge"/>
              <c:yMode val="edge"/>
              <c:x val="0.472932405967166"/>
              <c:y val="0.912513669739103"/>
            </c:manualLayout>
          </c:layout>
          <c:overlay val="0"/>
        </c:title>
        <c:majorTickMark val="out"/>
        <c:minorTickMark val="none"/>
        <c:tickLblPos val="nextTo"/>
        <c:crossAx val="2136196376"/>
        <c:crosses val="autoZero"/>
        <c:auto val="1"/>
        <c:lblAlgn val="ctr"/>
        <c:lblOffset val="100"/>
        <c:noMultiLvlLbl val="0"/>
      </c:catAx>
      <c:valAx>
        <c:axId val="2136196376"/>
        <c:scaling>
          <c:orientation val="minMax"/>
        </c:scaling>
        <c:delete val="0"/>
        <c:axPos val="l"/>
        <c:majorGridlines/>
        <c:title>
          <c:tx>
            <c:rich>
              <a:bodyPr rot="-5400000" vert="horz"/>
              <a:lstStyle/>
              <a:p>
                <a:pPr>
                  <a:defRPr/>
                </a:pPr>
                <a:r>
                  <a:rPr lang="en-US"/>
                  <a:t>Sales</a:t>
                </a:r>
                <a:r>
                  <a:rPr lang="en-US" baseline="0"/>
                  <a:t> Total</a:t>
                </a:r>
                <a:endParaRPr lang="en-US"/>
              </a:p>
            </c:rich>
          </c:tx>
          <c:layout>
            <c:manualLayout>
              <c:xMode val="edge"/>
              <c:yMode val="edge"/>
              <c:x val="0.0266120777891505"/>
              <c:y val="0.350899158226999"/>
            </c:manualLayout>
          </c:layout>
          <c:overlay val="0"/>
        </c:title>
        <c:numFmt formatCode="&quot;$&quot;#,##0.00;[Red]&quot;$&quot;#,##0.00" sourceLinked="1"/>
        <c:majorTickMark val="out"/>
        <c:minorTickMark val="none"/>
        <c:tickLblPos val="nextTo"/>
        <c:crossAx val="-2138192952"/>
        <c:crosses val="autoZero"/>
        <c:crossBetween val="between"/>
      </c:valAx>
    </c:plotArea>
    <c:plotVisOnly val="1"/>
    <c:dispBlanksAs val="gap"/>
    <c:showDLblsOverMax val="0"/>
  </c:chart>
  <c:spPr>
    <a:scene3d>
      <a:camera prst="orthographicFront"/>
      <a:lightRig rig="threePt" dir="t"/>
    </a:scene3d>
    <a:sp3d/>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Percentage</a:t>
            </a:r>
            <a:r>
              <a:rPr lang="en-US" baseline="0"/>
              <a:t> Contribution of Each Genre</a:t>
            </a:r>
            <a:endParaRPr lang="en-US"/>
          </a:p>
        </c:rich>
      </c:tx>
      <c:layout/>
      <c:overlay val="0"/>
    </c:title>
    <c:autoTitleDeleted val="0"/>
    <c:plotArea>
      <c:layout/>
      <c:barChart>
        <c:barDir val="col"/>
        <c:grouping val="stacked"/>
        <c:varyColors val="0"/>
        <c:ser>
          <c:idx val="0"/>
          <c:order val="0"/>
          <c:tx>
            <c:strRef>
              <c:f>Sheet1!$A$1</c:f>
              <c:strCache>
                <c:ptCount val="1"/>
                <c:pt idx="0">
                  <c:v>Rock</c:v>
                </c:pt>
              </c:strCache>
            </c:strRef>
          </c:tx>
          <c:invertIfNegative val="0"/>
          <c:dLbls>
            <c:showLegendKey val="0"/>
            <c:showVal val="1"/>
            <c:showCatName val="0"/>
            <c:showSerName val="1"/>
            <c:showPercent val="0"/>
            <c:showBubbleSize val="0"/>
            <c:separator>
</c:separator>
            <c:showLeaderLines val="0"/>
          </c:dLbls>
          <c:val>
            <c:numRef>
              <c:f>Sheet1!$C$1</c:f>
              <c:numCache>
                <c:formatCode>0.00</c:formatCode>
                <c:ptCount val="1"/>
                <c:pt idx="0">
                  <c:v>32.9830855971297</c:v>
                </c:pt>
              </c:numCache>
            </c:numRef>
          </c:val>
        </c:ser>
        <c:ser>
          <c:idx val="1"/>
          <c:order val="1"/>
          <c:tx>
            <c:strRef>
              <c:f>Sheet1!$A$2</c:f>
              <c:strCache>
                <c:ptCount val="1"/>
                <c:pt idx="0">
                  <c:v>Alternative &amp; Punk</c:v>
                </c:pt>
              </c:strCache>
            </c:strRef>
          </c:tx>
          <c:invertIfNegative val="0"/>
          <c:dLbls>
            <c:showLegendKey val="0"/>
            <c:showVal val="1"/>
            <c:showCatName val="0"/>
            <c:showSerName val="1"/>
            <c:showPercent val="0"/>
            <c:showBubbleSize val="0"/>
            <c:separator>
</c:separator>
            <c:showLeaderLines val="0"/>
          </c:dLbls>
          <c:val>
            <c:numRef>
              <c:f>Sheet1!$C$2</c:f>
              <c:numCache>
                <c:formatCode>0.00</c:formatCode>
                <c:ptCount val="1"/>
                <c:pt idx="0">
                  <c:v>15.7303946694003</c:v>
                </c:pt>
              </c:numCache>
            </c:numRef>
          </c:val>
        </c:ser>
        <c:ser>
          <c:idx val="2"/>
          <c:order val="2"/>
          <c:tx>
            <c:strRef>
              <c:f>Sheet1!$A$3</c:f>
              <c:strCache>
                <c:ptCount val="1"/>
                <c:pt idx="0">
                  <c:v>Latin</c:v>
                </c:pt>
              </c:strCache>
            </c:strRef>
          </c:tx>
          <c:invertIfNegative val="0"/>
          <c:dLbls>
            <c:dLblPos val="ctr"/>
            <c:showLegendKey val="0"/>
            <c:showVal val="1"/>
            <c:showCatName val="0"/>
            <c:showSerName val="1"/>
            <c:showPercent val="0"/>
            <c:showBubbleSize val="0"/>
            <c:separator>
</c:separator>
            <c:showLeaderLines val="0"/>
          </c:dLbls>
          <c:val>
            <c:numRef>
              <c:f>Sheet1!$C$3</c:f>
              <c:numCache>
                <c:formatCode>0.00</c:formatCode>
                <c:ptCount val="1"/>
                <c:pt idx="0">
                  <c:v>13.1932342388519</c:v>
                </c:pt>
              </c:numCache>
            </c:numRef>
          </c:val>
        </c:ser>
        <c:ser>
          <c:idx val="3"/>
          <c:order val="3"/>
          <c:tx>
            <c:strRef>
              <c:f>Sheet1!$A$4</c:f>
              <c:strCache>
                <c:ptCount val="1"/>
                <c:pt idx="0">
                  <c:v>Metal</c:v>
                </c:pt>
              </c:strCache>
            </c:strRef>
          </c:tx>
          <c:invertIfNegative val="0"/>
          <c:dLbls>
            <c:dLbl>
              <c:idx val="0"/>
              <c:layout/>
              <c:showLegendKey val="0"/>
              <c:showVal val="1"/>
              <c:showCatName val="0"/>
              <c:showSerName val="1"/>
              <c:showPercent val="0"/>
              <c:showBubbleSize val="0"/>
              <c:separator>
</c:separator>
            </c:dLbl>
            <c:showLegendKey val="0"/>
            <c:showVal val="0"/>
            <c:showCatName val="0"/>
            <c:showSerName val="1"/>
            <c:showPercent val="0"/>
            <c:showBubbleSize val="0"/>
            <c:separator>
</c:separator>
            <c:showLeaderLines val="0"/>
          </c:dLbls>
          <c:val>
            <c:numRef>
              <c:f>Sheet1!$C$4</c:f>
              <c:numCache>
                <c:formatCode>0.00</c:formatCode>
                <c:ptCount val="1"/>
                <c:pt idx="0">
                  <c:v>10.1486417221937</c:v>
                </c:pt>
              </c:numCache>
            </c:numRef>
          </c:val>
        </c:ser>
        <c:ser>
          <c:idx val="4"/>
          <c:order val="4"/>
          <c:tx>
            <c:strRef>
              <c:f>Sheet1!$A$5</c:f>
              <c:strCache>
                <c:ptCount val="1"/>
                <c:pt idx="0">
                  <c:v>Jazz</c:v>
                </c:pt>
              </c:strCache>
            </c:strRef>
          </c:tx>
          <c:invertIfNegative val="0"/>
          <c:dLbls>
            <c:showLegendKey val="0"/>
            <c:showVal val="1"/>
            <c:showCatName val="0"/>
            <c:showSerName val="1"/>
            <c:showPercent val="0"/>
            <c:showBubbleSize val="0"/>
            <c:separator>, </c:separator>
            <c:showLeaderLines val="0"/>
          </c:dLbls>
          <c:val>
            <c:numRef>
              <c:f>Sheet1!$C$5</c:f>
              <c:numCache>
                <c:formatCode>0.00</c:formatCode>
                <c:ptCount val="1"/>
                <c:pt idx="0">
                  <c:v>5.58175294720656</c:v>
                </c:pt>
              </c:numCache>
            </c:numRef>
          </c:val>
        </c:ser>
        <c:ser>
          <c:idx val="5"/>
          <c:order val="5"/>
          <c:tx>
            <c:strRef>
              <c:f>Sheet1!$A$6</c:f>
              <c:strCache>
                <c:ptCount val="1"/>
                <c:pt idx="0">
                  <c:v>Classical</c:v>
                </c:pt>
              </c:strCache>
            </c:strRef>
          </c:tx>
          <c:invertIfNegative val="0"/>
          <c:dLbls>
            <c:showLegendKey val="0"/>
            <c:showVal val="1"/>
            <c:showCatName val="0"/>
            <c:showSerName val="1"/>
            <c:showPercent val="0"/>
            <c:showBubbleSize val="0"/>
            <c:showLeaderLines val="0"/>
          </c:dLbls>
          <c:val>
            <c:numRef>
              <c:f>Sheet1!$C$6</c:f>
              <c:numCache>
                <c:formatCode>0.00</c:formatCode>
                <c:ptCount val="1"/>
                <c:pt idx="0">
                  <c:v>5.07432086109687</c:v>
                </c:pt>
              </c:numCache>
            </c:numRef>
          </c:val>
        </c:ser>
        <c:ser>
          <c:idx val="6"/>
          <c:order val="6"/>
          <c:tx>
            <c:strRef>
              <c:f>Sheet1!$A$7</c:f>
              <c:strCache>
                <c:ptCount val="1"/>
                <c:pt idx="0">
                  <c:v>Drama</c:v>
                </c:pt>
              </c:strCache>
            </c:strRef>
          </c:tx>
          <c:invertIfNegative val="0"/>
          <c:dLbls>
            <c:showLegendKey val="0"/>
            <c:showVal val="1"/>
            <c:showCatName val="0"/>
            <c:showSerName val="1"/>
            <c:showPercent val="0"/>
            <c:showBubbleSize val="0"/>
            <c:showLeaderLines val="0"/>
          </c:dLbls>
          <c:val>
            <c:numRef>
              <c:f>Sheet1!$C$7</c:f>
              <c:numCache>
                <c:formatCode>0.00</c:formatCode>
                <c:ptCount val="1"/>
                <c:pt idx="0">
                  <c:v>4.07995899538698</c:v>
                </c:pt>
              </c:numCache>
            </c:numRef>
          </c:val>
        </c:ser>
        <c:ser>
          <c:idx val="7"/>
          <c:order val="7"/>
          <c:tx>
            <c:strRef>
              <c:f>Sheet1!$A$8</c:f>
              <c:strCache>
                <c:ptCount val="1"/>
                <c:pt idx="0">
                  <c:v>Soundtrack</c:v>
                </c:pt>
              </c:strCache>
            </c:strRef>
          </c:tx>
          <c:invertIfNegative val="0"/>
          <c:dLbls>
            <c:showLegendKey val="0"/>
            <c:showVal val="1"/>
            <c:showCatName val="0"/>
            <c:showSerName val="1"/>
            <c:showPercent val="0"/>
            <c:showBubbleSize val="0"/>
            <c:showLeaderLines val="0"/>
          </c:dLbls>
          <c:val>
            <c:numRef>
              <c:f>Sheet1!$C$8</c:f>
              <c:numCache>
                <c:formatCode>0.00</c:formatCode>
                <c:ptCount val="1"/>
                <c:pt idx="0">
                  <c:v>2.53716043054844</c:v>
                </c:pt>
              </c:numCache>
            </c:numRef>
          </c:val>
        </c:ser>
        <c:ser>
          <c:idx val="8"/>
          <c:order val="8"/>
          <c:tx>
            <c:strRef>
              <c:f>Sheet1!$A$9</c:f>
              <c:strCache>
                <c:ptCount val="1"/>
                <c:pt idx="0">
                  <c:v>Sci Fi &amp; Fantasy</c:v>
                </c:pt>
              </c:strCache>
            </c:strRef>
          </c:tx>
          <c:invertIfNegative val="0"/>
          <c:dLbls>
            <c:showLegendKey val="0"/>
            <c:showVal val="1"/>
            <c:showCatName val="0"/>
            <c:showSerName val="1"/>
            <c:showPercent val="0"/>
            <c:showBubbleSize val="0"/>
            <c:showLeaderLines val="0"/>
          </c:dLbls>
          <c:val>
            <c:numRef>
              <c:f>Sheet1!$C$9</c:f>
              <c:numCache>
                <c:formatCode>0.00</c:formatCode>
                <c:ptCount val="1"/>
                <c:pt idx="0">
                  <c:v>2.03997949769349</c:v>
                </c:pt>
              </c:numCache>
            </c:numRef>
          </c:val>
        </c:ser>
        <c:ser>
          <c:idx val="9"/>
          <c:order val="9"/>
          <c:tx>
            <c:strRef>
              <c:f>Sheet1!$A$10</c:f>
              <c:strCache>
                <c:ptCount val="1"/>
                <c:pt idx="0">
                  <c:v>Alternative</c:v>
                </c:pt>
              </c:strCache>
            </c:strRef>
          </c:tx>
          <c:invertIfNegative val="0"/>
          <c:dLbls>
            <c:showLegendKey val="0"/>
            <c:showVal val="1"/>
            <c:showCatName val="0"/>
            <c:showSerName val="1"/>
            <c:showPercent val="0"/>
            <c:showBubbleSize val="0"/>
            <c:showLeaderLines val="0"/>
          </c:dLbls>
          <c:val>
            <c:numRef>
              <c:f>Sheet1!$C$10</c:f>
              <c:numCache>
                <c:formatCode>0.00</c:formatCode>
                <c:ptCount val="1"/>
                <c:pt idx="0">
                  <c:v>2.02972834443875</c:v>
                </c:pt>
              </c:numCache>
            </c:numRef>
          </c:val>
        </c:ser>
        <c:ser>
          <c:idx val="10"/>
          <c:order val="10"/>
          <c:tx>
            <c:strRef>
              <c:f>Sheet1!$A$11</c:f>
              <c:strCache>
                <c:ptCount val="1"/>
                <c:pt idx="0">
                  <c:v>TV Shows</c:v>
                </c:pt>
              </c:strCache>
            </c:strRef>
          </c:tx>
          <c:invertIfNegative val="0"/>
          <c:val>
            <c:numRef>
              <c:f>Sheet1!$C$11</c:f>
              <c:numCache>
                <c:formatCode>0.00</c:formatCode>
                <c:ptCount val="1"/>
                <c:pt idx="0">
                  <c:v>1.01998974884675</c:v>
                </c:pt>
              </c:numCache>
            </c:numRef>
          </c:val>
        </c:ser>
        <c:ser>
          <c:idx val="11"/>
          <c:order val="11"/>
          <c:tx>
            <c:strRef>
              <c:f>Sheet1!$A$12</c:f>
              <c:strCache>
                <c:ptCount val="1"/>
                <c:pt idx="0">
                  <c:v>Blues</c:v>
                </c:pt>
              </c:strCache>
            </c:strRef>
          </c:tx>
          <c:invertIfNegative val="0"/>
          <c:val>
            <c:numRef>
              <c:f>Sheet1!$C$12</c:f>
              <c:numCache>
                <c:formatCode>0.00</c:formatCode>
                <c:ptCount val="1"/>
                <c:pt idx="0">
                  <c:v>1.01486417221937</c:v>
                </c:pt>
              </c:numCache>
            </c:numRef>
          </c:val>
        </c:ser>
        <c:ser>
          <c:idx val="12"/>
          <c:order val="12"/>
          <c:tx>
            <c:strRef>
              <c:f>Sheet1!$A$13</c:f>
              <c:strCache>
                <c:ptCount val="1"/>
                <c:pt idx="0">
                  <c:v>Electronica/Dance</c:v>
                </c:pt>
              </c:strCache>
            </c:strRef>
          </c:tx>
          <c:invertIfNegative val="0"/>
          <c:val>
            <c:numRef>
              <c:f>Sheet1!$C$13</c:f>
              <c:numCache>
                <c:formatCode>0.00</c:formatCode>
                <c:ptCount val="1"/>
                <c:pt idx="0">
                  <c:v>1.01486417221937</c:v>
                </c:pt>
              </c:numCache>
            </c:numRef>
          </c:val>
        </c:ser>
        <c:ser>
          <c:idx val="13"/>
          <c:order val="13"/>
          <c:tx>
            <c:strRef>
              <c:f>Sheet1!$A$14</c:f>
              <c:strCache>
                <c:ptCount val="1"/>
                <c:pt idx="0">
                  <c:v>Hip Hop/Rap</c:v>
                </c:pt>
              </c:strCache>
            </c:strRef>
          </c:tx>
          <c:invertIfNegative val="0"/>
          <c:val>
            <c:numRef>
              <c:f>Sheet1!$C$14</c:f>
              <c:numCache>
                <c:formatCode>0.00</c:formatCode>
                <c:ptCount val="1"/>
                <c:pt idx="0">
                  <c:v>1.01486417221937</c:v>
                </c:pt>
              </c:numCache>
            </c:numRef>
          </c:val>
        </c:ser>
        <c:ser>
          <c:idx val="14"/>
          <c:order val="14"/>
          <c:tx>
            <c:strRef>
              <c:f>Sheet1!$A$15</c:f>
              <c:strCache>
                <c:ptCount val="1"/>
                <c:pt idx="0">
                  <c:v>Pop</c:v>
                </c:pt>
              </c:strCache>
            </c:strRef>
          </c:tx>
          <c:invertIfNegative val="0"/>
          <c:val>
            <c:numRef>
              <c:f>Sheet1!$C$15</c:f>
              <c:numCache>
                <c:formatCode>0.00</c:formatCode>
                <c:ptCount val="1"/>
                <c:pt idx="0">
                  <c:v>1.01486417221937</c:v>
                </c:pt>
              </c:numCache>
            </c:numRef>
          </c:val>
        </c:ser>
        <c:ser>
          <c:idx val="15"/>
          <c:order val="15"/>
          <c:tx>
            <c:strRef>
              <c:f>Sheet1!$A$16</c:f>
              <c:strCache>
                <c:ptCount val="1"/>
                <c:pt idx="0">
                  <c:v>Bossa Nova</c:v>
                </c:pt>
              </c:strCache>
            </c:strRef>
          </c:tx>
          <c:invertIfNegative val="0"/>
          <c:val>
            <c:numRef>
              <c:f>Sheet1!$C$16</c:f>
              <c:numCache>
                <c:formatCode>0.00</c:formatCode>
                <c:ptCount val="1"/>
                <c:pt idx="0">
                  <c:v>0.507432086109687</c:v>
                </c:pt>
              </c:numCache>
            </c:numRef>
          </c:val>
        </c:ser>
        <c:ser>
          <c:idx val="16"/>
          <c:order val="16"/>
          <c:tx>
            <c:strRef>
              <c:f>Sheet1!$A$17</c:f>
              <c:strCache>
                <c:ptCount val="1"/>
                <c:pt idx="0">
                  <c:v>Reggae</c:v>
                </c:pt>
              </c:strCache>
            </c:strRef>
          </c:tx>
          <c:invertIfNegative val="0"/>
          <c:val>
            <c:numRef>
              <c:f>Sheet1!$C$17</c:f>
              <c:numCache>
                <c:formatCode>0.00</c:formatCode>
                <c:ptCount val="1"/>
                <c:pt idx="0">
                  <c:v>0.507432086109687</c:v>
                </c:pt>
              </c:numCache>
            </c:numRef>
          </c:val>
        </c:ser>
        <c:ser>
          <c:idx val="17"/>
          <c:order val="17"/>
          <c:tx>
            <c:strRef>
              <c:f>Sheet1!$A$18</c:f>
              <c:strCache>
                <c:ptCount val="1"/>
                <c:pt idx="0">
                  <c:v>Rock And Roll</c:v>
                </c:pt>
              </c:strCache>
            </c:strRef>
          </c:tx>
          <c:invertIfNegative val="0"/>
          <c:dLbls>
            <c:showLegendKey val="0"/>
            <c:showVal val="1"/>
            <c:showCatName val="0"/>
            <c:showSerName val="0"/>
            <c:showPercent val="0"/>
            <c:showBubbleSize val="0"/>
            <c:showLeaderLines val="0"/>
          </c:dLbls>
          <c:val>
            <c:numRef>
              <c:f>Sheet1!$C$18</c:f>
              <c:numCache>
                <c:formatCode>0.00</c:formatCode>
                <c:ptCount val="1"/>
                <c:pt idx="0">
                  <c:v>0.507432086109687</c:v>
                </c:pt>
              </c:numCache>
            </c:numRef>
          </c:val>
        </c:ser>
        <c:dLbls>
          <c:showLegendKey val="0"/>
          <c:showVal val="0"/>
          <c:showCatName val="0"/>
          <c:showSerName val="0"/>
          <c:showPercent val="0"/>
          <c:showBubbleSize val="0"/>
        </c:dLbls>
        <c:gapWidth val="150"/>
        <c:overlap val="100"/>
        <c:axId val="2131214712"/>
        <c:axId val="2141262184"/>
      </c:barChart>
      <c:catAx>
        <c:axId val="2131214712"/>
        <c:scaling>
          <c:orientation val="minMax"/>
        </c:scaling>
        <c:delete val="0"/>
        <c:axPos val="b"/>
        <c:title>
          <c:tx>
            <c:rich>
              <a:bodyPr/>
              <a:lstStyle/>
              <a:p>
                <a:pPr>
                  <a:defRPr/>
                </a:pPr>
                <a:r>
                  <a:rPr lang="en-US"/>
                  <a:t>Genre</a:t>
                </a:r>
                <a:r>
                  <a:rPr lang="en-US" baseline="0"/>
                  <a:t> Percentage Column</a:t>
                </a:r>
                <a:endParaRPr lang="en-US"/>
              </a:p>
            </c:rich>
          </c:tx>
          <c:layout/>
          <c:overlay val="0"/>
        </c:title>
        <c:majorTickMark val="out"/>
        <c:minorTickMark val="none"/>
        <c:tickLblPos val="nextTo"/>
        <c:crossAx val="2141262184"/>
        <c:crossesAt val="0.0"/>
        <c:auto val="1"/>
        <c:lblAlgn val="ctr"/>
        <c:lblOffset val="100"/>
        <c:noMultiLvlLbl val="0"/>
      </c:catAx>
      <c:valAx>
        <c:axId val="2141262184"/>
        <c:scaling>
          <c:orientation val="minMax"/>
          <c:max val="100.0"/>
          <c:min val="0.0"/>
        </c:scaling>
        <c:delete val="0"/>
        <c:axPos val="l"/>
        <c:majorGridlines/>
        <c:title>
          <c:tx>
            <c:rich>
              <a:bodyPr rot="-5400000" vert="horz"/>
              <a:lstStyle/>
              <a:p>
                <a:pPr>
                  <a:defRPr/>
                </a:pPr>
                <a:r>
                  <a:rPr lang="en-US"/>
                  <a:t>Percentages</a:t>
                </a:r>
              </a:p>
            </c:rich>
          </c:tx>
          <c:layout/>
          <c:overlay val="0"/>
        </c:title>
        <c:numFmt formatCode="0.00" sourceLinked="1"/>
        <c:majorTickMark val="out"/>
        <c:minorTickMark val="none"/>
        <c:tickLblPos val="nextTo"/>
        <c:crossAx val="2131214712"/>
        <c:crosses val="autoZero"/>
        <c:crossBetween val="between"/>
        <c:majorUnit val="10.0"/>
        <c:minorUnit val="2.0"/>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2400"/>
            </a:pPr>
            <a:r>
              <a:rPr lang="en-US" sz="2400"/>
              <a:t>Canada's</a:t>
            </a:r>
            <a:r>
              <a:rPr lang="en-US" sz="2400" baseline="0"/>
              <a:t> Yearly Sales</a:t>
            </a:r>
            <a:endParaRPr lang="en-US" sz="2400"/>
          </a:p>
        </c:rich>
      </c:tx>
      <c:layout/>
      <c:overlay val="0"/>
    </c:title>
    <c:autoTitleDeleted val="0"/>
    <c:plotArea>
      <c:layout/>
      <c:lineChart>
        <c:grouping val="stacked"/>
        <c:varyColors val="0"/>
        <c:ser>
          <c:idx val="0"/>
          <c:order val="0"/>
          <c:tx>
            <c:v>Yearly Sales</c:v>
          </c:tx>
          <c:marker>
            <c:symbol val="none"/>
          </c:marker>
          <c:cat>
            <c:numRef>
              <c:f>'[Excel - SQL Result Submission.xlsx]Sheet2'!$A$2:$A$6</c:f>
              <c:numCache>
                <c:formatCode>General</c:formatCode>
                <c:ptCount val="5"/>
                <c:pt idx="0">
                  <c:v>2009.0</c:v>
                </c:pt>
                <c:pt idx="1">
                  <c:v>2010.0</c:v>
                </c:pt>
                <c:pt idx="2">
                  <c:v>2011.0</c:v>
                </c:pt>
                <c:pt idx="3">
                  <c:v>2012.0</c:v>
                </c:pt>
                <c:pt idx="4">
                  <c:v>2013.0</c:v>
                </c:pt>
              </c:numCache>
            </c:numRef>
          </c:cat>
          <c:val>
            <c:numRef>
              <c:f>'[Excel - SQL Result Submission.xlsx]Sheet2'!$B$2:$B$6</c:f>
              <c:numCache>
                <c:formatCode>"$"#,##0.00;[Red]"$"#,##0.00</c:formatCode>
                <c:ptCount val="5"/>
                <c:pt idx="0">
                  <c:v>59.4</c:v>
                </c:pt>
                <c:pt idx="1">
                  <c:v>78.26</c:v>
                </c:pt>
                <c:pt idx="2">
                  <c:v>53.46</c:v>
                </c:pt>
                <c:pt idx="3">
                  <c:v>42.57</c:v>
                </c:pt>
                <c:pt idx="4">
                  <c:v>72.27</c:v>
                </c:pt>
              </c:numCache>
            </c:numRef>
          </c:val>
          <c:smooth val="0"/>
        </c:ser>
        <c:dLbls>
          <c:showLegendKey val="0"/>
          <c:showVal val="0"/>
          <c:showCatName val="0"/>
          <c:showSerName val="0"/>
          <c:showPercent val="0"/>
          <c:showBubbleSize val="0"/>
        </c:dLbls>
        <c:marker val="1"/>
        <c:smooth val="0"/>
        <c:axId val="2146374680"/>
        <c:axId val="-2143006424"/>
      </c:lineChart>
      <c:catAx>
        <c:axId val="2146374680"/>
        <c:scaling>
          <c:orientation val="minMax"/>
        </c:scaling>
        <c:delete val="0"/>
        <c:axPos val="b"/>
        <c:title>
          <c:tx>
            <c:rich>
              <a:bodyPr/>
              <a:lstStyle/>
              <a:p>
                <a:pPr>
                  <a:defRPr/>
                </a:pPr>
                <a:r>
                  <a:rPr lang="en-US" sz="1200"/>
                  <a:t>Year</a:t>
                </a:r>
              </a:p>
            </c:rich>
          </c:tx>
          <c:layout>
            <c:manualLayout>
              <c:xMode val="edge"/>
              <c:yMode val="edge"/>
              <c:x val="0.45779824132153"/>
              <c:y val="0.941968931983425"/>
            </c:manualLayout>
          </c:layout>
          <c:overlay val="0"/>
        </c:title>
        <c:numFmt formatCode="General" sourceLinked="1"/>
        <c:majorTickMark val="none"/>
        <c:minorTickMark val="none"/>
        <c:tickLblPos val="nextTo"/>
        <c:crossAx val="-2143006424"/>
        <c:crosses val="autoZero"/>
        <c:auto val="1"/>
        <c:lblAlgn val="ctr"/>
        <c:lblOffset val="100"/>
        <c:noMultiLvlLbl val="0"/>
      </c:catAx>
      <c:valAx>
        <c:axId val="-2143006424"/>
        <c:scaling>
          <c:orientation val="minMax"/>
        </c:scaling>
        <c:delete val="0"/>
        <c:axPos val="l"/>
        <c:majorGridlines/>
        <c:title>
          <c:tx>
            <c:rich>
              <a:bodyPr/>
              <a:lstStyle/>
              <a:p>
                <a:pPr>
                  <a:defRPr/>
                </a:pPr>
                <a:r>
                  <a:rPr lang="en-US" sz="1200"/>
                  <a:t>Yearly Sales</a:t>
                </a:r>
                <a:r>
                  <a:rPr lang="en-US" sz="1200" baseline="0"/>
                  <a:t> (in Dollars)</a:t>
                </a:r>
                <a:endParaRPr lang="en-US" sz="1200"/>
              </a:p>
            </c:rich>
          </c:tx>
          <c:layout/>
          <c:overlay val="0"/>
        </c:title>
        <c:numFmt formatCode="&quot;$&quot;#,##0.00;[Red]&quot;$&quot;#,##0.00" sourceLinked="1"/>
        <c:majorTickMark val="none"/>
        <c:minorTickMark val="none"/>
        <c:tickLblPos val="nextTo"/>
        <c:crossAx val="2146374680"/>
        <c:crosses val="autoZero"/>
        <c:crossBetween val="between"/>
      </c:valAx>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2000"/>
              <a:t>Rock Music Monthly Sales in 2013 </a:t>
            </a:r>
          </a:p>
        </c:rich>
      </c:tx>
      <c:layout/>
      <c:overlay val="0"/>
    </c:title>
    <c:autoTitleDeleted val="0"/>
    <c:plotArea>
      <c:layout/>
      <c:lineChart>
        <c:grouping val="stacked"/>
        <c:varyColors val="0"/>
        <c:ser>
          <c:idx val="0"/>
          <c:order val="0"/>
          <c:tx>
            <c:v>Monthly Sales</c:v>
          </c:tx>
          <c:marker>
            <c:symbol val="none"/>
          </c:marker>
          <c:cat>
            <c:strRef>
              <c:f>Sheet3!$B$2:$B$11</c:f>
              <c:strCache>
                <c:ptCount val="10"/>
                <c:pt idx="0">
                  <c:v>March</c:v>
                </c:pt>
                <c:pt idx="1">
                  <c:v>April</c:v>
                </c:pt>
                <c:pt idx="2">
                  <c:v>May</c:v>
                </c:pt>
                <c:pt idx="3">
                  <c:v>June</c:v>
                </c:pt>
                <c:pt idx="4">
                  <c:v>July</c:v>
                </c:pt>
                <c:pt idx="5">
                  <c:v>August</c:v>
                </c:pt>
                <c:pt idx="6">
                  <c:v>September</c:v>
                </c:pt>
                <c:pt idx="7">
                  <c:v>October</c:v>
                </c:pt>
                <c:pt idx="8">
                  <c:v>November</c:v>
                </c:pt>
                <c:pt idx="9">
                  <c:v>December</c:v>
                </c:pt>
              </c:strCache>
            </c:strRef>
          </c:cat>
          <c:val>
            <c:numRef>
              <c:f>Sheet3!$C$2:$C$11</c:f>
              <c:numCache>
                <c:formatCode>"$"#,##0.00;[Red]"$"#,##0.00</c:formatCode>
                <c:ptCount val="10"/>
                <c:pt idx="0">
                  <c:v>8.91</c:v>
                </c:pt>
                <c:pt idx="1">
                  <c:v>14.85</c:v>
                </c:pt>
                <c:pt idx="2">
                  <c:v>8.91</c:v>
                </c:pt>
                <c:pt idx="3">
                  <c:v>18.81</c:v>
                </c:pt>
                <c:pt idx="4">
                  <c:v>22.77</c:v>
                </c:pt>
                <c:pt idx="5">
                  <c:v>17.82</c:v>
                </c:pt>
                <c:pt idx="6">
                  <c:v>21.78</c:v>
                </c:pt>
                <c:pt idx="7">
                  <c:v>19.8</c:v>
                </c:pt>
                <c:pt idx="8">
                  <c:v>26.85</c:v>
                </c:pt>
                <c:pt idx="9">
                  <c:v>22.77</c:v>
                </c:pt>
              </c:numCache>
            </c:numRef>
          </c:val>
          <c:smooth val="0"/>
        </c:ser>
        <c:dLbls>
          <c:showLegendKey val="0"/>
          <c:showVal val="0"/>
          <c:showCatName val="0"/>
          <c:showSerName val="0"/>
          <c:showPercent val="0"/>
          <c:showBubbleSize val="0"/>
        </c:dLbls>
        <c:marker val="1"/>
        <c:smooth val="0"/>
        <c:axId val="-2142904168"/>
        <c:axId val="2141738120"/>
      </c:lineChart>
      <c:catAx>
        <c:axId val="-2142904168"/>
        <c:scaling>
          <c:orientation val="minMax"/>
        </c:scaling>
        <c:delete val="0"/>
        <c:axPos val="b"/>
        <c:title>
          <c:tx>
            <c:rich>
              <a:bodyPr/>
              <a:lstStyle/>
              <a:p>
                <a:pPr>
                  <a:defRPr/>
                </a:pPr>
                <a:r>
                  <a:rPr lang="en-US" sz="1800"/>
                  <a:t>Month</a:t>
                </a:r>
              </a:p>
            </c:rich>
          </c:tx>
          <c:layout>
            <c:manualLayout>
              <c:xMode val="edge"/>
              <c:yMode val="edge"/>
              <c:x val="0.440834999061302"/>
              <c:y val="0.913163972286374"/>
            </c:manualLayout>
          </c:layout>
          <c:overlay val="0"/>
        </c:title>
        <c:majorTickMark val="none"/>
        <c:minorTickMark val="none"/>
        <c:tickLblPos val="nextTo"/>
        <c:txPr>
          <a:bodyPr/>
          <a:lstStyle/>
          <a:p>
            <a:pPr>
              <a:defRPr sz="1200"/>
            </a:pPr>
            <a:endParaRPr lang="en-US"/>
          </a:p>
        </c:txPr>
        <c:crossAx val="2141738120"/>
        <c:crosses val="autoZero"/>
        <c:auto val="1"/>
        <c:lblAlgn val="ctr"/>
        <c:lblOffset val="100"/>
        <c:noMultiLvlLbl val="0"/>
      </c:catAx>
      <c:valAx>
        <c:axId val="2141738120"/>
        <c:scaling>
          <c:orientation val="minMax"/>
        </c:scaling>
        <c:delete val="0"/>
        <c:axPos val="l"/>
        <c:title>
          <c:tx>
            <c:rich>
              <a:bodyPr rot="-5400000" vert="horz"/>
              <a:lstStyle/>
              <a:p>
                <a:pPr>
                  <a:defRPr/>
                </a:pPr>
                <a:r>
                  <a:rPr lang="en-US" sz="1800"/>
                  <a:t>Sales</a:t>
                </a:r>
              </a:p>
            </c:rich>
          </c:tx>
          <c:layout/>
          <c:overlay val="0"/>
        </c:title>
        <c:numFmt formatCode="&quot;$&quot;#,##0.00;[Red]&quot;$&quot;#,##0.00" sourceLinked="1"/>
        <c:majorTickMark val="none"/>
        <c:minorTickMark val="none"/>
        <c:tickLblPos val="nextTo"/>
        <c:txPr>
          <a:bodyPr/>
          <a:lstStyle/>
          <a:p>
            <a:pPr>
              <a:defRPr sz="1200"/>
            </a:pPr>
            <a:endParaRPr lang="en-US"/>
          </a:p>
        </c:txPr>
        <c:crossAx val="-2142904168"/>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Curve</a:t>
            </a:r>
            <a:r>
              <a:rPr lang="en-US" baseline="0"/>
              <a:t> Distribution of Led Zeppelin's Song Length</a:t>
            </a:r>
            <a:endParaRPr lang="en-US"/>
          </a:p>
        </c:rich>
      </c:tx>
      <c:layout/>
      <c:overlay val="0"/>
    </c:title>
    <c:autoTitleDeleted val="0"/>
    <c:plotArea>
      <c:layout/>
      <c:scatterChart>
        <c:scatterStyle val="smoothMarker"/>
        <c:varyColors val="0"/>
        <c:ser>
          <c:idx val="0"/>
          <c:order val="0"/>
          <c:marker>
            <c:symbol val="none"/>
          </c:marker>
          <c:xVal>
            <c:numRef>
              <c:f>Sheet4!$B$1:$B$114</c:f>
              <c:numCache>
                <c:formatCode>General</c:formatCode>
                <c:ptCount val="114"/>
                <c:pt idx="0">
                  <c:v>1.612329E6</c:v>
                </c:pt>
                <c:pt idx="1">
                  <c:v>1.116734E6</c:v>
                </c:pt>
                <c:pt idx="2">
                  <c:v>863895.0</c:v>
                </c:pt>
                <c:pt idx="3">
                  <c:v>825103.0</c:v>
                </c:pt>
                <c:pt idx="4">
                  <c:v>766354.0</c:v>
                </c:pt>
                <c:pt idx="5">
                  <c:v>749897.0</c:v>
                </c:pt>
                <c:pt idx="6">
                  <c:v>711836.0</c:v>
                </c:pt>
                <c:pt idx="7">
                  <c:v>666017.0</c:v>
                </c:pt>
                <c:pt idx="8">
                  <c:v>657293.0</c:v>
                </c:pt>
                <c:pt idx="9">
                  <c:v>634435.0</c:v>
                </c:pt>
                <c:pt idx="10">
                  <c:v>625502.0</c:v>
                </c:pt>
                <c:pt idx="11">
                  <c:v>619467.0</c:v>
                </c:pt>
                <c:pt idx="12">
                  <c:v>566752.0</c:v>
                </c:pt>
                <c:pt idx="13">
                  <c:v>529658.0</c:v>
                </c:pt>
                <c:pt idx="14">
                  <c:v>526785.0</c:v>
                </c:pt>
                <c:pt idx="15">
                  <c:v>508604.0</c:v>
                </c:pt>
                <c:pt idx="16">
                  <c:v>508055.0</c:v>
                </c:pt>
                <c:pt idx="17">
                  <c:v>505808.0</c:v>
                </c:pt>
                <c:pt idx="18">
                  <c:v>481619.0</c:v>
                </c:pt>
                <c:pt idx="19">
                  <c:v>459180.0</c:v>
                </c:pt>
                <c:pt idx="20">
                  <c:v>444055.0</c:v>
                </c:pt>
                <c:pt idx="21">
                  <c:v>427702.0</c:v>
                </c:pt>
                <c:pt idx="22">
                  <c:v>420493.0</c:v>
                </c:pt>
                <c:pt idx="23">
                  <c:v>416365.0</c:v>
                </c:pt>
                <c:pt idx="24">
                  <c:v>410566.0</c:v>
                </c:pt>
                <c:pt idx="25">
                  <c:v>401920.0</c:v>
                </c:pt>
                <c:pt idx="26">
                  <c:v>401475.0</c:v>
                </c:pt>
                <c:pt idx="27">
                  <c:v>398262.0</c:v>
                </c:pt>
                <c:pt idx="28">
                  <c:v>393116.0</c:v>
                </c:pt>
                <c:pt idx="29">
                  <c:v>388179.0</c:v>
                </c:pt>
                <c:pt idx="30">
                  <c:v>386063.0</c:v>
                </c:pt>
                <c:pt idx="31">
                  <c:v>384391.0</c:v>
                </c:pt>
                <c:pt idx="32">
                  <c:v>380551.0</c:v>
                </c:pt>
                <c:pt idx="33">
                  <c:v>379141.0</c:v>
                </c:pt>
                <c:pt idx="34">
                  <c:v>376215.0</c:v>
                </c:pt>
                <c:pt idx="35">
                  <c:v>373394.0</c:v>
                </c:pt>
                <c:pt idx="36">
                  <c:v>372950.0</c:v>
                </c:pt>
                <c:pt idx="37">
                  <c:v>356284.0</c:v>
                </c:pt>
                <c:pt idx="38">
                  <c:v>353358.0</c:v>
                </c:pt>
                <c:pt idx="39">
                  <c:v>351555.0</c:v>
                </c:pt>
                <c:pt idx="40">
                  <c:v>343431.0</c:v>
                </c:pt>
                <c:pt idx="41">
                  <c:v>337345.0</c:v>
                </c:pt>
                <c:pt idx="42">
                  <c:v>337084.0</c:v>
                </c:pt>
                <c:pt idx="43">
                  <c:v>336692.0</c:v>
                </c:pt>
                <c:pt idx="44">
                  <c:v>334471.0</c:v>
                </c:pt>
                <c:pt idx="45">
                  <c:v>330004.0</c:v>
                </c:pt>
                <c:pt idx="46">
                  <c:v>330004.0</c:v>
                </c:pt>
                <c:pt idx="47">
                  <c:v>329639.0</c:v>
                </c:pt>
                <c:pt idx="48">
                  <c:v>317622.0</c:v>
                </c:pt>
                <c:pt idx="49">
                  <c:v>316186.0</c:v>
                </c:pt>
                <c:pt idx="50">
                  <c:v>316081.0</c:v>
                </c:pt>
                <c:pt idx="51">
                  <c:v>315951.0</c:v>
                </c:pt>
                <c:pt idx="52">
                  <c:v>312032.0</c:v>
                </c:pt>
                <c:pt idx="53">
                  <c:v>307226.0</c:v>
                </c:pt>
                <c:pt idx="54">
                  <c:v>296672.0</c:v>
                </c:pt>
                <c:pt idx="55">
                  <c:v>296228.0</c:v>
                </c:pt>
                <c:pt idx="56">
                  <c:v>290089.0</c:v>
                </c:pt>
                <c:pt idx="57">
                  <c:v>287973.0</c:v>
                </c:pt>
                <c:pt idx="58">
                  <c:v>287791.0</c:v>
                </c:pt>
                <c:pt idx="59">
                  <c:v>284447.0</c:v>
                </c:pt>
                <c:pt idx="60">
                  <c:v>284107.0</c:v>
                </c:pt>
                <c:pt idx="61">
                  <c:v>283036.0</c:v>
                </c:pt>
                <c:pt idx="62">
                  <c:v>282671.0</c:v>
                </c:pt>
                <c:pt idx="63">
                  <c:v>278857.0</c:v>
                </c:pt>
                <c:pt idx="64">
                  <c:v>275591.0</c:v>
                </c:pt>
                <c:pt idx="65">
                  <c:v>274860.0</c:v>
                </c:pt>
                <c:pt idx="66">
                  <c:v>273084.0</c:v>
                </c:pt>
                <c:pt idx="67">
                  <c:v>271098.0</c:v>
                </c:pt>
                <c:pt idx="68">
                  <c:v>270785.0</c:v>
                </c:pt>
                <c:pt idx="69">
                  <c:v>263836.0</c:v>
                </c:pt>
                <c:pt idx="70">
                  <c:v>262948.0</c:v>
                </c:pt>
                <c:pt idx="71">
                  <c:v>260728.0</c:v>
                </c:pt>
                <c:pt idx="72">
                  <c:v>260675.0</c:v>
                </c:pt>
                <c:pt idx="73">
                  <c:v>259970.0</c:v>
                </c:pt>
                <c:pt idx="74">
                  <c:v>259500.0</c:v>
                </c:pt>
                <c:pt idx="75">
                  <c:v>258925.0</c:v>
                </c:pt>
                <c:pt idx="76">
                  <c:v>258168.0</c:v>
                </c:pt>
                <c:pt idx="77">
                  <c:v>254406.0</c:v>
                </c:pt>
                <c:pt idx="78">
                  <c:v>253988.0</c:v>
                </c:pt>
                <c:pt idx="79">
                  <c:v>253962.0</c:v>
                </c:pt>
                <c:pt idx="80">
                  <c:v>252055.0</c:v>
                </c:pt>
                <c:pt idx="81">
                  <c:v>249887.0</c:v>
                </c:pt>
                <c:pt idx="82">
                  <c:v>246047.0</c:v>
                </c:pt>
                <c:pt idx="83">
                  <c:v>242494.0</c:v>
                </c:pt>
                <c:pt idx="84">
                  <c:v>242442.0</c:v>
                </c:pt>
                <c:pt idx="85">
                  <c:v>234605.0</c:v>
                </c:pt>
                <c:pt idx="86">
                  <c:v>233560.0</c:v>
                </c:pt>
                <c:pt idx="87">
                  <c:v>233273.0</c:v>
                </c:pt>
                <c:pt idx="88">
                  <c:v>230034.0</c:v>
                </c:pt>
                <c:pt idx="89">
                  <c:v>223216.0</c:v>
                </c:pt>
                <c:pt idx="90">
                  <c:v>220917.0</c:v>
                </c:pt>
                <c:pt idx="91">
                  <c:v>219376.0</c:v>
                </c:pt>
                <c:pt idx="92">
                  <c:v>217547.0</c:v>
                </c:pt>
                <c:pt idx="93">
                  <c:v>215954.0</c:v>
                </c:pt>
                <c:pt idx="94">
                  <c:v>215693.0</c:v>
                </c:pt>
                <c:pt idx="95">
                  <c:v>209528.0</c:v>
                </c:pt>
                <c:pt idx="96">
                  <c:v>201247.0</c:v>
                </c:pt>
                <c:pt idx="97">
                  <c:v>197407.0</c:v>
                </c:pt>
                <c:pt idx="98">
                  <c:v>197198.0</c:v>
                </c:pt>
                <c:pt idx="99">
                  <c:v>192653.0</c:v>
                </c:pt>
                <c:pt idx="100">
                  <c:v>189675.0</c:v>
                </c:pt>
                <c:pt idx="101">
                  <c:v>185260.0</c:v>
                </c:pt>
                <c:pt idx="102">
                  <c:v>183327.0</c:v>
                </c:pt>
                <c:pt idx="103">
                  <c:v>182491.0</c:v>
                </c:pt>
                <c:pt idx="104">
                  <c:v>179591.0</c:v>
                </c:pt>
                <c:pt idx="105">
                  <c:v>166164.0</c:v>
                </c:pt>
                <c:pt idx="106">
                  <c:v>161149.0</c:v>
                </c:pt>
                <c:pt idx="107">
                  <c:v>159216.0</c:v>
                </c:pt>
                <c:pt idx="108">
                  <c:v>157570.0</c:v>
                </c:pt>
                <c:pt idx="109">
                  <c:v>150230.0</c:v>
                </c:pt>
                <c:pt idx="110">
                  <c:v>144875.0</c:v>
                </c:pt>
                <c:pt idx="111">
                  <c:v>132702.0</c:v>
                </c:pt>
                <c:pt idx="112">
                  <c:v>127869.0</c:v>
                </c:pt>
                <c:pt idx="113">
                  <c:v>126641.0</c:v>
                </c:pt>
              </c:numCache>
            </c:numRef>
          </c:xVal>
          <c:yVal>
            <c:numRef>
              <c:f>Sheet4!$C$1:$C$114</c:f>
              <c:numCache>
                <c:formatCode>General</c:formatCode>
                <c:ptCount val="114"/>
                <c:pt idx="0">
                  <c:v>1.59597678106666E-14</c:v>
                </c:pt>
                <c:pt idx="1">
                  <c:v>2.04062594503694E-9</c:v>
                </c:pt>
                <c:pt idx="2">
                  <c:v>8.95876308207678E-8</c:v>
                </c:pt>
                <c:pt idx="3">
                  <c:v>1.40180079663937E-7</c:v>
                </c:pt>
                <c:pt idx="4">
                  <c:v>2.58225259917275E-7</c:v>
                </c:pt>
                <c:pt idx="5">
                  <c:v>3.0201029564939E-7</c:v>
                </c:pt>
                <c:pt idx="6">
                  <c:v>4.23432808173324E-7</c:v>
                </c:pt>
                <c:pt idx="7">
                  <c:v>6.08004844870807E-7</c:v>
                </c:pt>
                <c:pt idx="8">
                  <c:v>6.47742378133556E-7</c:v>
                </c:pt>
                <c:pt idx="9">
                  <c:v>7.58176582689789E-7</c:v>
                </c:pt>
                <c:pt idx="10">
                  <c:v>8.03607397498351E-7</c:v>
                </c:pt>
                <c:pt idx="11">
                  <c:v>8.3494668772648E-7</c:v>
                </c:pt>
                <c:pt idx="12">
                  <c:v>1.12468114522675E-6</c:v>
                </c:pt>
                <c:pt idx="13">
                  <c:v>1.33386993830122E-6</c:v>
                </c:pt>
                <c:pt idx="14">
                  <c:v>1.34979307750129E-6</c:v>
                </c:pt>
                <c:pt idx="15">
                  <c:v>1.4485498121308E-6</c:v>
                </c:pt>
                <c:pt idx="16">
                  <c:v>1.45146685645909E-6</c:v>
                </c:pt>
                <c:pt idx="17">
                  <c:v>1.46335965176595E-6</c:v>
                </c:pt>
                <c:pt idx="18">
                  <c:v>1.58579914934827E-6</c:v>
                </c:pt>
                <c:pt idx="19">
                  <c:v>1.68770683546652E-6</c:v>
                </c:pt>
                <c:pt idx="20">
                  <c:v>1.74839053503962E-6</c:v>
                </c:pt>
                <c:pt idx="21">
                  <c:v>1.80553670702071E-6</c:v>
                </c:pt>
                <c:pt idx="22">
                  <c:v>1.82767772992513E-6</c:v>
                </c:pt>
                <c:pt idx="23">
                  <c:v>1.83946927436859E-6</c:v>
                </c:pt>
                <c:pt idx="24">
                  <c:v>1.85491116787473E-6</c:v>
                </c:pt>
                <c:pt idx="25">
                  <c:v>1.87542913076316E-6</c:v>
                </c:pt>
                <c:pt idx="26">
                  <c:v>1.87640235151714E-6</c:v>
                </c:pt>
                <c:pt idx="27">
                  <c:v>1.88318490150787E-6</c:v>
                </c:pt>
                <c:pt idx="28">
                  <c:v>1.89314477038342E-6</c:v>
                </c:pt>
                <c:pt idx="29">
                  <c:v>1.90164026437143E-6</c:v>
                </c:pt>
                <c:pt idx="30">
                  <c:v>1.90495999184924E-6</c:v>
                </c:pt>
                <c:pt idx="31">
                  <c:v>1.90744569829848E-6</c:v>
                </c:pt>
                <c:pt idx="32">
                  <c:v>1.91269242308698E-6</c:v>
                </c:pt>
                <c:pt idx="33">
                  <c:v>1.91445653565684E-6</c:v>
                </c:pt>
                <c:pt idx="34">
                  <c:v>1.91783748888887E-6</c:v>
                </c:pt>
                <c:pt idx="35">
                  <c:v>1.92073791227665E-6</c:v>
                </c:pt>
                <c:pt idx="36">
                  <c:v>1.92116218322742E-6</c:v>
                </c:pt>
                <c:pt idx="37">
                  <c:v>1.93069474712268E-6</c:v>
                </c:pt>
                <c:pt idx="38">
                  <c:v>1.93107584539837E-6</c:v>
                </c:pt>
                <c:pt idx="39">
                  <c:v>1.93111780115185E-6</c:v>
                </c:pt>
                <c:pt idx="40">
                  <c:v>1.92948294938476E-6</c:v>
                </c:pt>
                <c:pt idx="41">
                  <c:v>1.92630640433772E-6</c:v>
                </c:pt>
                <c:pt idx="42">
                  <c:v>1.92613291171863E-6</c:v>
                </c:pt>
                <c:pt idx="43">
                  <c:v>1.92586659421371E-6</c:v>
                </c:pt>
                <c:pt idx="44">
                  <c:v>1.92422754708806E-6</c:v>
                </c:pt>
                <c:pt idx="45">
                  <c:v>1.92026299640397E-6</c:v>
                </c:pt>
                <c:pt idx="46">
                  <c:v>1.92026299640397E-6</c:v>
                </c:pt>
                <c:pt idx="47">
                  <c:v>1.91989974203829E-6</c:v>
                </c:pt>
                <c:pt idx="48">
                  <c:v>1.90465535402765E-6</c:v>
                </c:pt>
                <c:pt idx="49">
                  <c:v>1.9024111831361E-6</c:v>
                </c:pt>
                <c:pt idx="50">
                  <c:v>1.90224358762491E-6</c:v>
                </c:pt>
                <c:pt idx="51">
                  <c:v>1.90203542810902E-6</c:v>
                </c:pt>
                <c:pt idx="52">
                  <c:v>1.89541850051086E-6</c:v>
                </c:pt>
                <c:pt idx="53">
                  <c:v>1.88640839901487E-6</c:v>
                </c:pt>
                <c:pt idx="54">
                  <c:v>1.86323012600724E-6</c:v>
                </c:pt>
                <c:pt idx="55">
                  <c:v>1.86215476272854E-6</c:v>
                </c:pt>
                <c:pt idx="56">
                  <c:v>1.84647517626691E-6</c:v>
                </c:pt>
                <c:pt idx="57">
                  <c:v>1.8407246302968E-6</c:v>
                </c:pt>
                <c:pt idx="58">
                  <c:v>1.84022183836453E-6</c:v>
                </c:pt>
                <c:pt idx="59">
                  <c:v>1.83075521528205E-6</c:v>
                </c:pt>
                <c:pt idx="60">
                  <c:v>1.82976858004072E-6</c:v>
                </c:pt>
                <c:pt idx="61">
                  <c:v>1.82663181312342E-6</c:v>
                </c:pt>
                <c:pt idx="62">
                  <c:v>1.82555281247395E-6</c:v>
                </c:pt>
                <c:pt idx="63">
                  <c:v>1.81397728885859E-6</c:v>
                </c:pt>
                <c:pt idx="64">
                  <c:v>1.80363462359008E-6</c:v>
                </c:pt>
                <c:pt idx="65">
                  <c:v>1.80126614406916E-6</c:v>
                </c:pt>
                <c:pt idx="66">
                  <c:v>1.79543109919867E-6</c:v>
                </c:pt>
                <c:pt idx="67">
                  <c:v>1.78877190199229E-6</c:v>
                </c:pt>
                <c:pt idx="68">
                  <c:v>1.78770957513701E-6</c:v>
                </c:pt>
                <c:pt idx="69">
                  <c:v>1.76324360020001E-6</c:v>
                </c:pt>
                <c:pt idx="70">
                  <c:v>1.75999785915278E-6</c:v>
                </c:pt>
                <c:pt idx="71">
                  <c:v>1.75176801072955E-6</c:v>
                </c:pt>
                <c:pt idx="72">
                  <c:v>1.75156953128892E-6</c:v>
                </c:pt>
                <c:pt idx="73">
                  <c:v>1.74892056873398E-6</c:v>
                </c:pt>
                <c:pt idx="74">
                  <c:v>1.74714551561744E-6</c:v>
                </c:pt>
                <c:pt idx="75">
                  <c:v>1.74496407411349E-6</c:v>
                </c:pt>
                <c:pt idx="76">
                  <c:v>1.74207573201508E-6</c:v>
                </c:pt>
                <c:pt idx="77">
                  <c:v>1.72744844507804E-6</c:v>
                </c:pt>
                <c:pt idx="78">
                  <c:v>1.72579546355031E-6</c:v>
                </c:pt>
                <c:pt idx="79">
                  <c:v>1.72569246539187E-6</c:v>
                </c:pt>
                <c:pt idx="80">
                  <c:v>1.71808048249842E-6</c:v>
                </c:pt>
                <c:pt idx="81">
                  <c:v>1.70929054032997E-6</c:v>
                </c:pt>
                <c:pt idx="82">
                  <c:v>1.69337409729749E-6</c:v>
                </c:pt>
                <c:pt idx="83">
                  <c:v>1.67826273197615E-6</c:v>
                </c:pt>
                <c:pt idx="84">
                  <c:v>1.67803888813478E-6</c:v>
                </c:pt>
                <c:pt idx="85">
                  <c:v>1.64345125673763E-6</c:v>
                </c:pt>
                <c:pt idx="86">
                  <c:v>1.63871526465085E-6</c:v>
                </c:pt>
                <c:pt idx="87">
                  <c:v>1.63740962332601E-6</c:v>
                </c:pt>
                <c:pt idx="88">
                  <c:v>1.62252933775745E-6</c:v>
                </c:pt>
                <c:pt idx="89">
                  <c:v>1.59036910357625E-6</c:v>
                </c:pt>
                <c:pt idx="90">
                  <c:v>1.579281300797E-6</c:v>
                </c:pt>
                <c:pt idx="91">
                  <c:v>1.57178357712087E-6</c:v>
                </c:pt>
                <c:pt idx="92">
                  <c:v>1.56281791522755E-6</c:v>
                </c:pt>
                <c:pt idx="93">
                  <c:v>1.5549514813517E-6</c:v>
                </c:pt>
                <c:pt idx="94">
                  <c:v>1.55365760311093E-6</c:v>
                </c:pt>
                <c:pt idx="95">
                  <c:v>1.52269951544369E-6</c:v>
                </c:pt>
                <c:pt idx="96">
                  <c:v>1.48000860612127E-6</c:v>
                </c:pt>
                <c:pt idx="97">
                  <c:v>1.45982429881406E-6</c:v>
                </c:pt>
                <c:pt idx="98">
                  <c:v>1.45871919660839E-6</c:v>
                </c:pt>
                <c:pt idx="99">
                  <c:v>1.43452983312186E-6</c:v>
                </c:pt>
                <c:pt idx="100">
                  <c:v>1.41852590597632E-6</c:v>
                </c:pt>
                <c:pt idx="101">
                  <c:v>1.39459403843962E-6</c:v>
                </c:pt>
                <c:pt idx="102">
                  <c:v>1.38404455906772E-6</c:v>
                </c:pt>
                <c:pt idx="103">
                  <c:v>1.37946937514152E-6</c:v>
                </c:pt>
                <c:pt idx="104">
                  <c:v>1.36354234153761E-6</c:v>
                </c:pt>
                <c:pt idx="105">
                  <c:v>1.28884919391668E-6</c:v>
                </c:pt>
                <c:pt idx="106">
                  <c:v>1.26064629156734E-6</c:v>
                </c:pt>
                <c:pt idx="107">
                  <c:v>1.24974452697194E-6</c:v>
                </c:pt>
                <c:pt idx="108">
                  <c:v>1.24045012424212E-6</c:v>
                </c:pt>
                <c:pt idx="109">
                  <c:v>1.19891103995792E-6</c:v>
                </c:pt>
                <c:pt idx="110">
                  <c:v>1.1685548403211E-6</c:v>
                </c:pt>
                <c:pt idx="111">
                  <c:v>1.099625623346E-6</c:v>
                </c:pt>
                <c:pt idx="112">
                  <c:v>1.07236710716265E-6</c:v>
                </c:pt>
                <c:pt idx="113">
                  <c:v>1.06545650259951E-6</c:v>
                </c:pt>
              </c:numCache>
            </c:numRef>
          </c:yVal>
          <c:smooth val="1"/>
        </c:ser>
        <c:dLbls>
          <c:showLegendKey val="0"/>
          <c:showVal val="0"/>
          <c:showCatName val="0"/>
          <c:showSerName val="0"/>
          <c:showPercent val="0"/>
          <c:showBubbleSize val="0"/>
        </c:dLbls>
        <c:axId val="2141328888"/>
        <c:axId val="2144573176"/>
      </c:scatterChart>
      <c:valAx>
        <c:axId val="2141328888"/>
        <c:scaling>
          <c:orientation val="minMax"/>
        </c:scaling>
        <c:delete val="0"/>
        <c:axPos val="b"/>
        <c:title>
          <c:tx>
            <c:rich>
              <a:bodyPr/>
              <a:lstStyle/>
              <a:p>
                <a:pPr>
                  <a:defRPr/>
                </a:pPr>
                <a:r>
                  <a:rPr lang="en-US"/>
                  <a:t>Song</a:t>
                </a:r>
                <a:r>
                  <a:rPr lang="en-US" baseline="0"/>
                  <a:t> Length (Milliseconds)</a:t>
                </a:r>
                <a:endParaRPr lang="en-US"/>
              </a:p>
            </c:rich>
          </c:tx>
          <c:layout/>
          <c:overlay val="0"/>
        </c:title>
        <c:numFmt formatCode="General" sourceLinked="1"/>
        <c:majorTickMark val="out"/>
        <c:minorTickMark val="none"/>
        <c:tickLblPos val="nextTo"/>
        <c:crossAx val="2144573176"/>
        <c:crosses val="autoZero"/>
        <c:crossBetween val="midCat"/>
      </c:valAx>
      <c:valAx>
        <c:axId val="2144573176"/>
        <c:scaling>
          <c:orientation val="minMax"/>
        </c:scaling>
        <c:delete val="0"/>
        <c:axPos val="l"/>
        <c:majorGridlines/>
        <c:title>
          <c:tx>
            <c:rich>
              <a:bodyPr rot="-5400000" vert="horz"/>
              <a:lstStyle/>
              <a:p>
                <a:pPr>
                  <a:defRPr/>
                </a:pPr>
                <a:r>
                  <a:rPr lang="en-US"/>
                  <a:t>Density</a:t>
                </a:r>
                <a:r>
                  <a:rPr lang="en-US" baseline="0"/>
                  <a:t> of Probability</a:t>
                </a:r>
                <a:endParaRPr lang="en-US"/>
              </a:p>
            </c:rich>
          </c:tx>
          <c:layout/>
          <c:overlay val="0"/>
        </c:title>
        <c:numFmt formatCode="General" sourceLinked="1"/>
        <c:majorTickMark val="out"/>
        <c:minorTickMark val="none"/>
        <c:tickLblPos val="nextTo"/>
        <c:crossAx val="214132888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470</Words>
  <Characters>2679</Characters>
  <Application>Microsoft Macintosh Word</Application>
  <DocSecurity>0</DocSecurity>
  <Lines>22</Lines>
  <Paragraphs>6</Paragraphs>
  <ScaleCrop>false</ScaleCrop>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Ng</dc:creator>
  <cp:keywords/>
  <dc:description/>
  <cp:lastModifiedBy>Winnie Ng</cp:lastModifiedBy>
  <cp:revision>6</cp:revision>
  <dcterms:created xsi:type="dcterms:W3CDTF">2018-11-21T21:21:00Z</dcterms:created>
  <dcterms:modified xsi:type="dcterms:W3CDTF">2018-11-26T22:19:00Z</dcterms:modified>
</cp:coreProperties>
</file>