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tcW w:w="9360" w:type="dxa"/>
            <w:shd w:val="clear" w:color="auto" w:fill="0A1726"/>
            <w:tcMar>
              <w:top w:w="520" w:type="dxa"/>
              <w:bottom w:w="520" w:type="dxa"/>
              <w:left w:w="300" w:type="dxa"/>
              <w:right w:w="300" w:type="dxa"/>
            </w:tcMar>
          </w:tcPr>
          <w:p>
            <w:pPr>
              <w:spacing w:lineRule="auto" w:after="200" w:line="240"/>
            </w:pPr>
            <w:r>
              <w:rPr>
                <w:rFonts w:ascii="IBM Plex Mono" w:hAnsi="IBM Plex Mono" w:cs="IBM Plex Mono" w:eastAsia="IBM Plex Mono"/>
                <w:b w:val="0"/>
                <w:i w:val="0"/>
                <w:color w:val="D8A94A"/>
                <w:sz w:val="18"/>
                <w:spacing w:val="40"/>
              </w:rPr>
              <w:t>ANCHORAGE DIGITAL RESEARCH</w:t>
            </w:r>
          </w:p>
          <w:p>
            <w:pPr>
              <w:spacing w:lineRule="auto" w:after="120" w:line="245"/>
            </w:pPr>
            <w:r>
              <w:rPr>
                <w:rFonts w:ascii="Fraunces" w:hAnsi="Fraunces" w:cs="Fraunces" w:eastAsia="Fraunces"/>
                <w:b/>
                <w:i w:val="0"/>
                <w:color w:val="F2ECDF"/>
                <w:sz w:val="60"/>
              </w:rPr>
              <w:t>Anchorage Research Agenda 2026</w:t>
            </w:r>
          </w:p>
          <w:p>
            <w:pPr>
              <w:spacing w:lineRule="auto" w:before="40" w:after="200"/>
              <w:pBdr>
                <w:bottom w:val="single" w:sz="8" w:space="1" w:color="D8A94A"/>
              </w:pBdr>
            </w:pPr>
            <w:r>
              <w:rPr>
                <w:rFonts w:ascii="Hanken Grotesk" w:hAnsi="Hanken Grotesk" w:cs="Hanken Grotesk" w:eastAsia="Hanken Grotesk"/>
                <w:b w:val="0"/>
                <w:i w:val="0"/>
                <w:color w:val="D8A94A"/>
                <w:sz w:val="4"/>
              </w:rPr>
            </w:r>
          </w:p>
          <w:p>
            <w:pPr>
              <w:spacing w:lineRule="auto" w:after="240" w:line="288"/>
            </w:pPr>
            <w:r>
              <w:rPr>
                <w:rFonts w:ascii="Fraunces" w:hAnsi="Fraunces" w:cs="Fraunces" w:eastAsia="Fraunces"/>
                <w:b w:val="0"/>
                <w:i/>
                <w:color w:val="DEE5EE"/>
                <w:sz w:val="28"/>
              </w:rPr>
              <w:t>Seven evidence-backed papers on the institutionalization of crypto and the agent economy</w:t>
            </w:r>
          </w:p>
          <w:p>
            <w:pPr>
              <w:spacing w:lineRule="auto" w:before="120" w:after="80" w:line="312"/>
            </w:pPr>
            <w:r>
              <w:rPr>
                <w:rFonts w:ascii="Fraunces" w:hAnsi="Fraunces" w:cs="Fraunces" w:eastAsia="Fraunces"/>
                <w:b w:val="0"/>
                <w:i/>
                <w:color w:val="EAC36B"/>
                <w:sz w:val="24"/>
              </w:rPr>
              <w:t>A regulated bank’s reading of where the market is going, and the trust layer the next phase requires.</w:t>
            </w:r>
          </w:p>
          <w:p>
            <w:pPr>
              <w:spacing w:lineRule="auto" w:before="160" w:after="0" w:line="312"/>
            </w:pPr>
            <w:r>
              <w:rPr>
                <w:rFonts w:ascii="IBM Plex Mono" w:hAnsi="IBM Plex Mono" w:cs="IBM Plex Mono" w:eastAsia="IBM Plex Mono"/>
                <w:b w:val="0"/>
                <w:i w:val="0"/>
                <w:color w:val="94A3B5"/>
                <w:sz w:val="17"/>
                <w:spacing w:val="20"/>
              </w:rPr>
              <w:t>DRAFT  ·  for Nathan McCauley  ·  not for publication  ·  June 2026</w:t>
            </w:r>
          </w:p>
        </w:tc>
      </w:tr>
    </w:tbl>
    <w:p>
      <w:r>
        <w:br w:type="page"/>
      </w:r>
    </w:p>
    <w:p>
      <w:pPr>
        <w:spacing w:before="120" w:after="120"/>
        <w:pBdr>
          <w:bottom w:val="single" w:sz="4" w:space="4" w:color="D8A94A"/>
        </w:pBdr>
      </w:pPr>
      <w:r>
        <w:rPr>
          <w:rFonts w:ascii="Fraunces" w:hAnsi="Fraunces" w:cs="Fraunces" w:eastAsia="Fraunces"/>
          <w:b/>
          <w:i w:val="0"/>
          <w:color w:val="D8A94A"/>
          <w:sz w:val="30"/>
        </w:rPr>
        <w:t>How this maps to the strategy</w:t>
      </w:r>
    </w:p>
    <w:p>
      <w:r>
        <w:rPr>
          <w:rFonts w:ascii="Hanken Grotesk" w:hAnsi="Hanken Grotesk" w:cs="Hanken Grotesk" w:eastAsia="Hanken Grotesk"/>
          <w:b w:val="0"/>
          <w:i w:val="0"/>
          <w:color w:val="16202B"/>
          <w:sz w:val="21"/>
        </w:rPr>
        <w:t>Each paper anchors one of the seven pillars from the strategy deck. Every quantitative claim carries a source and an as-of date. The series is public-data-led; Anchorage’s internal factor research is referenced as corroboration, not printed. Anchorage’s own first-mover claims are attributed, not asserted.</w:t>
      </w:r>
    </w:p>
    <w:tbl>
      <w:tblPr>
        <w:tblW w:type="auto" w:w="0"/>
        <w:jc w:val="center"/>
        <w:tblLayout w:type="fixed"/>
        <w:tblLook w:firstColumn="1" w:firstRow="1" w:lastColumn="0" w:lastRow="0" w:noHBand="0" w:noVBand="1" w:val="04A0"/>
        <w:tblBorders>
          <w:top w:val="single" w:sz="4" w:space="0" w:color="D9D2C2"/>
          <w:left w:val="single" w:sz="4" w:space="0" w:color="D9D2C2"/>
          <w:bottom w:val="single" w:sz="4" w:space="0" w:color="D9D2C2"/>
          <w:right w:val="single" w:sz="4" w:space="0" w:color="D9D2C2"/>
          <w:insideH w:val="single" w:sz="4" w:space="0" w:color="D9D2C2"/>
          <w:insideV w:val="single" w:sz="4" w:space="0" w:color="D9D2C2"/>
        </w:tblBorders>
      </w:tblPr>
      <w:tblGrid>
        <w:gridCol w:w="2340"/>
        <w:gridCol w:w="2340"/>
        <w:gridCol w:w="2340"/>
        <w:gridCol w:w="2340"/>
      </w:tblGrid>
      <w:tr>
        <w:trPr>
          <w:cantSplit/>
          <w:tblHeader/>
        </w:trPr>
        <w:tc>
          <w:tcPr>
            <w:tcW w:type="dxa" w:w="2340"/>
            <w:tcW w:w="2448" w:type="dxa"/>
            <w:tcMar>
              <w:top w:w="70" w:type="dxa"/>
              <w:bottom w:w="70" w:type="dxa"/>
              <w:left w:w="110" w:type="dxa"/>
              <w:right w:w="110" w:type="dxa"/>
            </w:tcMar>
            <w:shd w:val="clear" w:color="auto" w:fill="0A1726"/>
          </w:tcPr>
          <w:p>
            <w:pPr>
              <w:spacing w:after="0" w:line="269" w:lineRule="auto"/>
            </w:pPr>
            <w:r>
              <w:rPr>
                <w:rFonts w:ascii="IBM Plex Mono" w:hAnsi="IBM Plex Mono" w:cs="IBM Plex Mono" w:eastAsia="IBM Plex Mono"/>
                <w:b w:val="0"/>
                <w:i w:val="0"/>
                <w:color w:val="D8A94A"/>
                <w:sz w:val="17"/>
              </w:rPr>
              <w:t>Pillar</w:t>
            </w:r>
          </w:p>
        </w:tc>
        <w:tc>
          <w:tcPr>
            <w:tcW w:type="dxa" w:w="2340"/>
            <w:tcW w:w="2448" w:type="dxa"/>
            <w:tcMar>
              <w:top w:w="70" w:type="dxa"/>
              <w:bottom w:w="70" w:type="dxa"/>
              <w:left w:w="110" w:type="dxa"/>
              <w:right w:w="110" w:type="dxa"/>
            </w:tcMar>
            <w:shd w:val="clear" w:color="auto" w:fill="0A1726"/>
          </w:tcPr>
          <w:p>
            <w:pPr>
              <w:spacing w:after="0" w:line="269" w:lineRule="auto"/>
            </w:pPr>
            <w:r>
              <w:rPr>
                <w:rFonts w:ascii="IBM Plex Mono" w:hAnsi="IBM Plex Mono" w:cs="IBM Plex Mono" w:eastAsia="IBM Plex Mono"/>
                <w:b w:val="0"/>
                <w:i w:val="0"/>
                <w:color w:val="D8A94A"/>
                <w:sz w:val="17"/>
              </w:rPr>
              <w:t>Paper</w:t>
            </w:r>
          </w:p>
        </w:tc>
        <w:tc>
          <w:tcPr>
            <w:tcW w:type="dxa" w:w="2340"/>
            <w:tcW w:w="2448" w:type="dxa"/>
            <w:tcMar>
              <w:top w:w="70" w:type="dxa"/>
              <w:bottom w:w="70" w:type="dxa"/>
              <w:left w:w="110" w:type="dxa"/>
              <w:right w:w="110" w:type="dxa"/>
            </w:tcMar>
            <w:shd w:val="clear" w:color="auto" w:fill="0A1726"/>
          </w:tcPr>
          <w:p>
            <w:pPr>
              <w:spacing w:after="0" w:line="269" w:lineRule="auto"/>
            </w:pPr>
            <w:r>
              <w:rPr>
                <w:rFonts w:ascii="IBM Plex Mono" w:hAnsi="IBM Plex Mono" w:cs="IBM Plex Mono" w:eastAsia="IBM Plex Mono"/>
                <w:b w:val="0"/>
                <w:i w:val="0"/>
                <w:color w:val="D8A94A"/>
                <w:sz w:val="17"/>
              </w:rPr>
              <w:t>The stance</w:t>
            </w:r>
          </w:p>
        </w:tc>
        <w:tc>
          <w:tcPr>
            <w:tcW w:type="dxa" w:w="2340"/>
            <w:tcW w:w="2015" w:type="dxa"/>
            <w:tcMar>
              <w:top w:w="70" w:type="dxa"/>
              <w:bottom w:w="70" w:type="dxa"/>
              <w:left w:w="110" w:type="dxa"/>
              <w:right w:w="110" w:type="dxa"/>
            </w:tcMar>
            <w:shd w:val="clear" w:color="auto" w:fill="0A1726"/>
          </w:tcPr>
          <w:p>
            <w:pPr>
              <w:spacing w:after="0" w:line="269" w:lineRule="auto"/>
            </w:pPr>
            <w:r>
              <w:rPr>
                <w:rFonts w:ascii="IBM Plex Mono" w:hAnsi="IBM Plex Mono" w:cs="IBM Plex Mono" w:eastAsia="IBM Plex Mono"/>
                <w:b w:val="0"/>
                <w:i w:val="0"/>
                <w:color w:val="D8A94A"/>
                <w:sz w:val="17"/>
              </w:rPr>
              <w:t>Lead evidence</w:t>
            </w:r>
          </w:p>
        </w:tc>
      </w:tr>
      <w:tr>
        <w:trPr>
          <w:cantSplit/>
        </w:trPr>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1  Financial infrastructure / agentic banking</w:t>
            </w:r>
          </w:p>
        </w:tc>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01  The Agent Underwriting Gap</w:t>
            </w:r>
          </w:p>
        </w:tc>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Underwrite the agent; the standards stop at identity.</w:t>
            </w:r>
          </w:p>
        </w:tc>
        <w:tc>
          <w:tcPr>
            <w:tcW w:type="dxa" w:w="2340"/>
            <w:tcW w:w="2015"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ERC-8004, x402, KYA scope; McKinsey, Gartner agentic-AI.</w:t>
            </w:r>
          </w:p>
        </w:tc>
      </w:tr>
      <w:tr>
        <w:trPr>
          <w:cantSplit/>
        </w:trPr>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2  Stablecoins</w:t>
            </w:r>
          </w:p>
        </w:tc>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02  The Issuer War Is the Wrong War</w:t>
            </w:r>
          </w:p>
        </w:tc>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Neutral, regulated settlement beats a house token.</w:t>
            </w:r>
          </w:p>
        </w:tc>
        <w:tc>
          <w:tcPr>
            <w:tcW w:type="dxa" w:w="2340"/>
            <w:tcW w:w="2015"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Circle Q1 $21.5T; Chainalysis $28T; USDPT; GENIUS Act.</w:t>
            </w:r>
          </w:p>
        </w:tc>
      </w:tr>
      <w:tr>
        <w:trPr>
          <w:cantSplit/>
        </w:trPr>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3  Capital markets (Atlas)</w:t>
            </w:r>
          </w:p>
        </w:tc>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03  The 101% Problem</w:t>
            </w:r>
          </w:p>
        </w:tc>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Tokenization is inevitable; its business model is not yet.</w:t>
            </w:r>
          </w:p>
        </w:tc>
        <w:tc>
          <w:tcPr>
            <w:tcW w:type="dxa" w:w="2340"/>
            <w:tcW w:w="2015"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rwa.xyz $31.5B vs McKinsey/Citi $2-5.5T; Atlas.</w:t>
            </w:r>
          </w:p>
        </w:tc>
      </w:tr>
      <w:tr>
        <w:trPr>
          <w:cantSplit/>
        </w:trPr>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4  Anchorage products (custody)</w:t>
            </w:r>
          </w:p>
        </w:tc>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04  Custody Must Be Usable</w:t>
            </w:r>
          </w:p>
        </w:tc>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Give the agent an allowance, not the keys.</w:t>
            </w:r>
          </w:p>
        </w:tc>
        <w:tc>
          <w:tcPr>
            <w:tcW w:type="dxa" w:w="2340"/>
            <w:tcW w:w="2015"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BlackRock and 3iQ custody; OCC IL 1183.</w:t>
            </w:r>
          </w:p>
        </w:tc>
      </w:tr>
      <w:tr>
        <w:trPr>
          <w:cantSplit/>
        </w:trPr>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5  Policy</w:t>
            </w:r>
          </w:p>
        </w:tc>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05  The Rulebook for Autonomous Money</w:t>
            </w:r>
          </w:p>
        </w:tc>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Extend principles-based regulation to agents, from the banks out.</w:t>
            </w:r>
          </w:p>
        </w:tc>
        <w:tc>
          <w:tcPr>
            <w:tcW w:type="dxa" w:w="2340"/>
            <w:tcW w:w="2015"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GENIUS Act; SAB 122; OCC 5 charters; CLARITY.</w:t>
            </w:r>
          </w:p>
        </w:tc>
      </w:tr>
      <w:tr>
        <w:trPr>
          <w:cantSplit/>
        </w:trPr>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6  Wealth management</w:t>
            </w:r>
          </w:p>
        </w:tc>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06  AI Copilots for Advisors</w:t>
            </w:r>
          </w:p>
        </w:tc>
        <w:tc>
          <w:tcPr>
            <w:tcW w:type="dxa" w:w="2340"/>
            <w:tcW w:w="2448"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Copilots are fine; unaccountable copilots are not.</w:t>
            </w:r>
          </w:p>
        </w:tc>
        <w:tc>
          <w:tcPr>
            <w:tcW w:type="dxa" w:w="2340"/>
            <w:tcW w:w="2015" w:type="dxa"/>
            <w:tcMar>
              <w:top w:w="70" w:type="dxa"/>
              <w:bottom w:w="70" w:type="dxa"/>
              <w:left w:w="110" w:type="dxa"/>
              <w:right w:w="110" w:type="dxa"/>
            </w:tcMar>
            <w:shd w:val="clear" w:color="auto" w:fill="FFFFFF"/>
          </w:tcPr>
          <w:p>
            <w:pPr>
              <w:spacing w:after="0" w:line="269" w:lineRule="auto"/>
            </w:pPr>
            <w:r>
              <w:rPr>
                <w:rFonts w:ascii="Hanken Grotesk" w:hAnsi="Hanken Grotesk" w:cs="Hanken Grotesk" w:eastAsia="Hanken Grotesk"/>
                <w:b w:val="0"/>
                <w:i w:val="0"/>
                <w:color w:val="16202B"/>
                <w:sz w:val="18"/>
              </w:rPr>
              <w:t>Advisors 50-60% of 13F; Securitize for Advisors.</w:t>
            </w:r>
          </w:p>
        </w:tc>
      </w:tr>
      <w:tr>
        <w:trPr>
          <w:cantSplit/>
        </w:trPr>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7  Institutions</w:t>
            </w:r>
          </w:p>
        </w:tc>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Flagship  The Institutionalization of Crypto</w:t>
            </w:r>
          </w:p>
        </w:tc>
        <w:tc>
          <w:tcPr>
            <w:tcW w:type="dxa" w:w="2340"/>
            <w:tcW w:w="2448"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Sticky-through-stress proves it; the next phase needs a bank.</w:t>
            </w:r>
          </w:p>
        </w:tc>
        <w:tc>
          <w:tcPr>
            <w:tcW w:type="dxa" w:w="2340"/>
            <w:tcW w:w="2015" w:type="dxa"/>
            <w:tcMar>
              <w:top w:w="70" w:type="dxa"/>
              <w:bottom w:w="70" w:type="dxa"/>
              <w:left w:w="110" w:type="dxa"/>
              <w:right w:w="110" w:type="dxa"/>
            </w:tcMar>
            <w:shd w:val="clear" w:color="auto" w:fill="FBF9F3"/>
          </w:tcPr>
          <w:p>
            <w:pPr>
              <w:spacing w:after="0" w:line="269" w:lineRule="auto"/>
            </w:pPr>
            <w:r>
              <w:rPr>
                <w:rFonts w:ascii="Hanken Grotesk" w:hAnsi="Hanken Grotesk" w:cs="Hanken Grotesk" w:eastAsia="Hanken Grotesk"/>
                <w:b w:val="0"/>
                <w:i w:val="0"/>
                <w:color w:val="16202B"/>
                <w:sz w:val="18"/>
              </w:rPr>
              <w:t>IBIT 10-Q: holdings grew as AUM fell; OCC charters.</w:t>
            </w:r>
          </w:p>
        </w:tc>
      </w:tr>
    </w:tbl>
    <w:p>
      <w:pPr>
        <w:spacing w:before="160"/>
      </w:pPr>
      <w:r>
        <w:rPr>
          <w:rFonts w:ascii="IBM Plex Mono" w:hAnsi="IBM Plex Mono" w:cs="IBM Plex Mono" w:eastAsia="IBM Plex Mono"/>
          <w:b w:val="0"/>
          <w:i w:val="0"/>
          <w:color w:val="9A7320"/>
          <w:sz w:val="17"/>
        </w:rPr>
        <w:t>Reading order leads with the flagship (Pillar 7), then Papers 01 through 06 in pillar order.</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tcW w:w="9360" w:type="dxa"/>
            <w:shd w:val="clear" w:color="auto" w:fill="0A1726"/>
            <w:tcMar>
              <w:top w:w="420" w:type="dxa"/>
              <w:bottom w:w="420" w:type="dxa"/>
              <w:left w:w="300" w:type="dxa"/>
              <w:right w:w="300" w:type="dxa"/>
            </w:tcMar>
          </w:tcPr>
          <w:p>
            <w:pPr>
              <w:spacing w:lineRule="auto" w:after="200" w:line="240"/>
            </w:pPr>
            <w:r>
              <w:rPr>
                <w:rFonts w:ascii="IBM Plex Mono" w:hAnsi="IBM Plex Mono" w:cs="IBM Plex Mono" w:eastAsia="IBM Plex Mono"/>
                <w:b w:val="0"/>
                <w:i w:val="0"/>
                <w:color w:val="D8A94A"/>
                <w:sz w:val="18"/>
                <w:spacing w:val="40"/>
              </w:rPr>
              <w:t>ANCHORAGE DIGITAL RESEARCH  ·  FLAGSHIP  ·  PILLAR 7, INSTITUTIONS</w:t>
            </w:r>
          </w:p>
          <w:p>
            <w:pPr>
              <w:spacing w:lineRule="auto" w:after="120" w:line="250"/>
            </w:pPr>
            <w:r>
              <w:rPr>
                <w:rFonts w:ascii="Fraunces" w:hAnsi="Fraunces" w:cs="Fraunces" w:eastAsia="Fraunces"/>
                <w:b/>
                <w:i w:val="0"/>
                <w:color w:val="F2ECDF"/>
                <w:sz w:val="48"/>
              </w:rPr>
              <w:t>The Institutionalization of Crypto</w:t>
            </w:r>
          </w:p>
          <w:p>
            <w:pPr>
              <w:spacing w:lineRule="auto" w:before="40" w:after="200"/>
              <w:pBdr>
                <w:bottom w:val="single" w:sz="8" w:space="1" w:color="D8A94A"/>
              </w:pBdr>
            </w:pPr>
            <w:r>
              <w:rPr>
                <w:rFonts w:ascii="Hanken Grotesk" w:hAnsi="Hanken Grotesk" w:cs="Hanken Grotesk" w:eastAsia="Hanken Grotesk"/>
                <w:b w:val="0"/>
                <w:i w:val="0"/>
                <w:color w:val="D8A94A"/>
                <w:sz w:val="4"/>
              </w:rPr>
            </w:r>
          </w:p>
          <w:p>
            <w:pPr>
              <w:spacing w:lineRule="auto" w:after="240" w:line="288"/>
            </w:pPr>
            <w:r>
              <w:rPr>
                <w:rFonts w:ascii="Fraunces" w:hAnsi="Fraunces" w:cs="Fraunces" w:eastAsia="Fraunces"/>
                <w:b w:val="0"/>
                <w:i/>
                <w:color w:val="DEE5EE"/>
                <w:sz w:val="28"/>
              </w:rPr>
              <w:t>What the 2026 drawdown proved, and why the next phase needs a bank</w:t>
            </w:r>
          </w:p>
          <w:p>
            <w:pPr>
              <w:spacing w:lineRule="auto" w:before="120" w:after="80" w:line="312"/>
            </w:pPr>
            <w:r>
              <w:rPr>
                <w:rFonts w:ascii="Fraunces" w:hAnsi="Fraunces" w:cs="Fraunces" w:eastAsia="Fraunces"/>
                <w:b w:val="0"/>
                <w:i/>
                <w:color w:val="EAC36B"/>
                <w:sz w:val="24"/>
              </w:rPr>
              <w:t>The strongest evidence that crypto has institutionalized is not the rally. It is the drawdown.</w:t>
            </w:r>
          </w:p>
        </w:tc>
      </w:tr>
    </w:tbl>
    <w:p>
      <w:pPr>
        <w:spacing w:after="120" w:before="0"/>
      </w:pPr>
    </w:p>
    <w:p>
      <w:pPr>
        <w:keepNext/>
        <w:spacing w:before="320" w:after="120"/>
        <w:pBdr>
          <w:bottom w:val="single" w:sz="4" w:space="4" w:color="D8A94A"/>
        </w:pBdr>
      </w:pPr>
      <w:r>
        <w:rPr>
          <w:rFonts w:ascii="Fraunces" w:hAnsi="Fraunces" w:cs="Fraunces" w:eastAsia="Fraunces"/>
          <w:b/>
          <w:i w:val="0"/>
          <w:color w:val="D8A94A"/>
          <w:sz w:val="32"/>
        </w:rPr>
        <w:t>Executive summary</w:t>
      </w:r>
    </w:p>
    <w:p>
      <w:pPr>
        <w:spacing w:after="160"/>
      </w:pPr>
      <w:r>
        <w:rPr>
          <w:rFonts w:ascii="Hanken Grotesk" w:hAnsi="Hanken Grotesk" w:cs="Hanken Grotesk" w:eastAsia="Hanken Grotesk"/>
          <w:b w:val="0"/>
          <w:i w:val="0"/>
          <w:color w:val="16202B"/>
          <w:sz w:val="21"/>
        </w:rPr>
        <w:t>The strongest evidence that crypto has institutionalized is not the rally. It is the drawdown.</w:t>
      </w:r>
    </w:p>
    <w:p>
      <w:pPr>
        <w:spacing w:after="160"/>
      </w:pPr>
      <w:r>
        <w:rPr>
          <w:rFonts w:ascii="Hanken Grotesk" w:hAnsi="Hanken Grotesk" w:cs="Hanken Grotesk" w:eastAsia="Hanken Grotesk"/>
          <w:b w:val="0"/>
          <w:i w:val="0"/>
          <w:color w:val="16202B"/>
          <w:sz w:val="21"/>
        </w:rPr>
        <w:t>Through the first half of 2026, the digital asset market fell hard. Bitcoin traded near $67,000 to $68,000 in early June, total crypto market capitalization contracted roughly 20% in the first quarter, and May 2026 was the largest month of net redemptions from US spot Bitcoin ETFs in the year. [1][2] In a retail-driven, cycle-dependent market, that is the point at which ownership unwinds.</w:t>
      </w:r>
    </w:p>
    <w:p>
      <w:pPr>
        <w:spacing w:after="160"/>
      </w:pPr>
      <w:r>
        <w:rPr>
          <w:rFonts w:ascii="Hanken Grotesk" w:hAnsi="Hanken Grotesk" w:cs="Hanken Grotesk" w:eastAsia="Hanken Grotesk"/>
          <w:b w:val="0"/>
          <w:i w:val="0"/>
          <w:color w:val="16202B"/>
          <w:sz w:val="21"/>
        </w:rPr>
        <w:t>It did not. BlackRock's iShares Bitcoin Trust, the largest spot Bitcoin ETF, reported in its own first-quarter 10-Q that the bitcoin it held actually grew, from 770,792 to 783,744 BTC, even as its net assets fell from $67.4 billion to $53.4 billion over the same quarter. [3] The decline was price, not redemptions. That single primary-source fact is the thesis of this paper in miniature: the holders stayed.</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Institutionalization is now a structural feature of this asset class, not a sentiment that rises and falls with price. It shows up where it counts, in who keeps holding when the market falls.</w:t>
      </w:r>
    </w:p>
    <w:p>
      <w:pPr>
        <w:spacing w:after="160"/>
      </w:pPr>
      <w:r>
        <w:rPr>
          <w:rFonts w:ascii="Hanken Grotesk" w:hAnsi="Hanken Grotesk" w:cs="Hanken Grotesk" w:eastAsia="Hanken Grotesk"/>
          <w:b w:val="0"/>
          <w:i w:val="0"/>
          <w:color w:val="16202B"/>
          <w:sz w:val="21"/>
        </w:rPr>
        <w:t>This paper makes four evidenced claims and then takes a position.</w:t>
      </w:r>
    </w:p>
    <w:p>
      <w:pPr>
        <w:spacing w:after="160"/>
      </w:pPr>
      <w:r>
        <w:rPr>
          <w:rFonts w:ascii="Hanken Grotesk" w:hAnsi="Hanken Grotesk" w:cs="Hanken Grotesk" w:eastAsia="Hanken Grotesk"/>
          <w:b w:val="0"/>
          <w:i w:val="0"/>
          <w:color w:val="16202B"/>
          <w:sz w:val="21"/>
        </w:rPr>
        <w:t xml:space="preserve">1. </w:t>
      </w:r>
      <w:r>
        <w:rPr>
          <w:rFonts w:ascii="Hanken Grotesk" w:hAnsi="Hanken Grotesk" w:cs="Hanken Grotesk" w:eastAsia="Hanken Grotesk"/>
          <w:b/>
          <w:i w:val="0"/>
          <w:color w:val="16202B"/>
          <w:sz w:val="21"/>
        </w:rPr>
        <w:t>Ownership has broadened and stuck.</w:t>
      </w:r>
      <w:r>
        <w:rPr>
          <w:rFonts w:ascii="Hanken Grotesk" w:hAnsi="Hanken Grotesk" w:cs="Hanken Grotesk" w:eastAsia="Hanken Grotesk"/>
          <w:b w:val="0"/>
          <w:i w:val="0"/>
          <w:color w:val="16202B"/>
          <w:sz w:val="21"/>
        </w:rPr>
        <w:t xml:space="preserve"> Institutional ownership of spot Bitcoin ETF assets has roughly doubled year over year, advisors now drive the majority of reported holdings, and nearly three-quarters of surveyed institutions plan to increase allocations in 2026, even into the drawdown. [4][5][6]</w:t>
      </w:r>
    </w:p>
    <w:p>
      <w:pPr>
        <w:spacing w:after="160"/>
      </w:pPr>
      <w:r>
        <w:rPr>
          <w:rFonts w:ascii="Hanken Grotesk" w:hAnsi="Hanken Grotesk" w:cs="Hanken Grotesk" w:eastAsia="Hanken Grotesk"/>
          <w:b w:val="0"/>
          <w:i w:val="0"/>
          <w:color w:val="16202B"/>
          <w:sz w:val="21"/>
        </w:rPr>
        <w:t xml:space="preserve">2. </w:t>
      </w:r>
      <w:r>
        <w:rPr>
          <w:rFonts w:ascii="Hanken Grotesk" w:hAnsi="Hanken Grotesk" w:cs="Hanken Grotesk" w:eastAsia="Hanken Grotesk"/>
          <w:b/>
          <w:i w:val="0"/>
          <w:color w:val="16202B"/>
          <w:sz w:val="21"/>
        </w:rPr>
        <w:t>The market re-sorted toward size and quality.</w:t>
      </w:r>
      <w:r>
        <w:rPr>
          <w:rFonts w:ascii="Hanken Grotesk" w:hAnsi="Hanken Grotesk" w:cs="Hanken Grotesk" w:eastAsia="Hanken Grotesk"/>
          <w:b w:val="0"/>
          <w:i w:val="0"/>
          <w:color w:val="16202B"/>
          <w:sz w:val="21"/>
        </w:rPr>
        <w:t xml:space="preserve"> Large-cap crypto has decisively outperformed small-cap, market capitalization has concentrated in a handful of liquid, regulated, benchmarkable assets, and the long tail has collapsed. This is the signature of institutional, not retail, capital. [7][8]</w:t>
      </w:r>
    </w:p>
    <w:p>
      <w:pPr>
        <w:spacing w:after="160"/>
      </w:pPr>
      <w:r>
        <w:rPr>
          <w:rFonts w:ascii="Hanken Grotesk" w:hAnsi="Hanken Grotesk" w:cs="Hanken Grotesk" w:eastAsia="Hanken Grotesk"/>
          <w:b w:val="0"/>
          <w:i w:val="0"/>
          <w:color w:val="16202B"/>
          <w:sz w:val="21"/>
        </w:rPr>
        <w:t xml:space="preserve">3. </w:t>
      </w:r>
      <w:r>
        <w:rPr>
          <w:rFonts w:ascii="Hanken Grotesk" w:hAnsi="Hanken Grotesk" w:cs="Hanken Grotesk" w:eastAsia="Hanken Grotesk"/>
          <w:b/>
          <w:i w:val="0"/>
          <w:color w:val="16202B"/>
          <w:sz w:val="21"/>
        </w:rPr>
        <w:t>Crypto is becoming its own asset class, not a leveraged Nasdaq.</w:t>
      </w:r>
      <w:r>
        <w:rPr>
          <w:rFonts w:ascii="Hanken Grotesk" w:hAnsi="Hanken Grotesk" w:cs="Hanken Grotesk" w:eastAsia="Hanken Grotesk"/>
          <w:b w:val="0"/>
          <w:i w:val="0"/>
          <w:color w:val="16202B"/>
          <w:sz w:val="21"/>
        </w:rPr>
        <w:t xml:space="preserve"> Its correlation to equities stepped up structurally after the ETFs and is regime-dependent, but it decoupled sharply during the late-2025 and 2026 selloff. Crypto trades on its own drivers now, and it has acquired the factor architecture of a mature asset class. [9][10][11]</w:t>
      </w:r>
    </w:p>
    <w:p>
      <w:pPr>
        <w:spacing w:after="160"/>
      </w:pPr>
      <w:r>
        <w:rPr>
          <w:rFonts w:ascii="Hanken Grotesk" w:hAnsi="Hanken Grotesk" w:cs="Hanken Grotesk" w:eastAsia="Hanken Grotesk"/>
          <w:b w:val="0"/>
          <w:i w:val="0"/>
          <w:color w:val="16202B"/>
          <w:sz w:val="21"/>
        </w:rPr>
        <w:t xml:space="preserve">4. </w:t>
      </w:r>
      <w:r>
        <w:rPr>
          <w:rFonts w:ascii="Hanken Grotesk" w:hAnsi="Hanken Grotesk" w:cs="Hanken Grotesk" w:eastAsia="Hanken Grotesk"/>
          <w:b/>
          <w:i w:val="0"/>
          <w:color w:val="16202B"/>
          <w:sz w:val="21"/>
        </w:rPr>
        <w:t>The asset became infrastructure.</w:t>
      </w:r>
      <w:r>
        <w:rPr>
          <w:rFonts w:ascii="Hanken Grotesk" w:hAnsi="Hanken Grotesk" w:cs="Hanken Grotesk" w:eastAsia="Hanken Grotesk"/>
          <w:b w:val="0"/>
          <w:i w:val="0"/>
          <w:color w:val="16202B"/>
          <w:sz w:val="21"/>
        </w:rPr>
        <w:t xml:space="preserve"> Federal charters, a stablecoin law, custody migrating onto chartered banks, and stablecoins settling trillions in real volume have turned crypto from an instrument you hold into rails you run on. [12][13][14]</w:t>
      </w:r>
    </w:p>
    <w:p>
      <w:pPr>
        <w:spacing w:after="160"/>
      </w:pPr>
      <w:r>
        <w:rPr>
          <w:rFonts w:ascii="Hanken Grotesk" w:hAnsi="Hanken Grotesk" w:cs="Hanken Grotesk" w:eastAsia="Hanken Grotesk"/>
          <w:b w:val="0"/>
          <w:i w:val="0"/>
          <w:color w:val="16202B"/>
          <w:sz w:val="21"/>
        </w:rPr>
        <w:t>Then the position. The next phase of this market is not another asset. It is a new kind of participant: autonomous software agents that hold balances, make payments, and act on institutional capital. The identity and payment standards being built for that world are real and converging fast, but they stop, by their own authors' design, short of the things regulated finance is built on: underwriting the actor, custodying the assets, and standing behind the controls. [15][16] Those are banking functions. The institutions that deployed capital into regulated, custodied crypto infrastructure will demand the same before they let an agent touch it. Anchorage's view is that the controls are the on-ramp, not the brake, and that Know Your Agent, done from inside a federally chartered trust bank, is the layer the standards leave open.</w:t>
      </w:r>
    </w:p>
    <w:p>
      <w:pPr>
        <w:keepNext/>
        <w:spacing w:before="320" w:after="120"/>
        <w:pBdr>
          <w:bottom w:val="single" w:sz="4" w:space="4" w:color="D8A94A"/>
        </w:pBdr>
      </w:pPr>
      <w:r>
        <w:rPr>
          <w:rFonts w:ascii="Fraunces" w:hAnsi="Fraunces" w:cs="Fraunces" w:eastAsia="Fraunces"/>
          <w:b/>
          <w:i w:val="0"/>
          <w:color w:val="D8A94A"/>
          <w:sz w:val="32"/>
        </w:rPr>
        <w:t>1. Institutionalization is now structural, and the drawdown is the proof</w:t>
      </w:r>
    </w:p>
    <w:p>
      <w:pPr>
        <w:spacing w:after="160"/>
      </w:pPr>
      <w:r>
        <w:rPr>
          <w:rFonts w:ascii="Hanken Grotesk" w:hAnsi="Hanken Grotesk" w:cs="Hanken Grotesk" w:eastAsia="Hanken Grotesk"/>
          <w:b w:val="0"/>
          <w:i w:val="0"/>
          <w:color w:val="16202B"/>
          <w:sz w:val="21"/>
        </w:rPr>
        <w:t>The retail thesis of crypto held that ownership was reflexive: it climbed with price and evaporated when price fell. The 2026 data breaks that thesis.</w:t>
      </w:r>
    </w:p>
    <w:p>
      <w:pPr>
        <w:spacing w:after="160"/>
      </w:pPr>
      <w:r>
        <w:rPr>
          <w:rFonts w:ascii="Hanken Grotesk" w:hAnsi="Hanken Grotesk" w:cs="Hanken Grotesk" w:eastAsia="Hanken Grotesk"/>
          <w:b w:val="0"/>
          <w:i w:val="0"/>
          <w:color w:val="16202B"/>
          <w:sz w:val="21"/>
        </w:rPr>
        <w:t>Start with the holders. More than 1,680 distinct institutions reported holding BlackRock's IBIT in regulatory filings, including names like Goldman Sachs, Millennium, Jane Street, and Citadel. [17] Institutional ownership of spot Bitcoin ETF assets rose to roughly 38% by the end of 2025, up from about 24% a year earlier, per Bloomberg Intelligence data compiled from 13F filings. [4] Registered investment advisors, the channel that intermediates ordinary wealth, accounted for 50% to 60% of reported 13F exposure across 2025, per CoinShares. [5] This is not a hedge-fund trade. It is the wealth-management system adopting an asset class.</w:t>
      </w:r>
    </w:p>
    <w:p>
      <w:pPr>
        <w:spacing w:after="160"/>
      </w:pPr>
      <w:r>
        <w:rPr>
          <w:rFonts w:ascii="Hanken Grotesk" w:hAnsi="Hanken Grotesk" w:cs="Hanken Grotesk" w:eastAsia="Hanken Grotesk"/>
          <w:b w:val="0"/>
          <w:i w:val="0"/>
          <w:color w:val="16202B"/>
          <w:sz w:val="21"/>
        </w:rPr>
        <w:t>The intent data points the same way, and it was gathered into the downturn. In the Coinbase and EY-Parthenon 2026 institutional survey of 351 investors, 73% said they planned to increase digital-asset allocations in 2026, 66% already held exposure through spot ETFs, and the share of firms allocating more than 5% of assets under management to digital assets was projected to rise from 18% to 29% within the year. [6] Allocators do not deepen exposure to an asset they consider a passing retail mania.</w:t>
      </w:r>
    </w:p>
    <w:p>
      <w:pPr>
        <w:spacing w:after="160"/>
      </w:pPr>
      <w:r>
        <w:rPr>
          <w:rFonts w:ascii="Hanken Grotesk" w:hAnsi="Hanken Grotesk" w:cs="Hanken Grotesk" w:eastAsia="Hanken Grotesk"/>
          <w:b w:val="0"/>
          <w:i w:val="0"/>
          <w:color w:val="16202B"/>
          <w:sz w:val="21"/>
        </w:rPr>
        <w:t>The marquee channels opened, too. Morgan Stanley, the first wirehouse to authorize its roughly 15,000 advisors to actively solicit spot Bitcoin ETFs, went on to launch its own bank-issued spot Bitcoin product in April 2026. [18] When the largest US wealth-distribution network builds its own access, the question has shifted from whether to hold to how much.</w:t>
      </w:r>
    </w:p>
    <w:p>
      <w:pPr>
        <w:spacing w:after="160"/>
      </w:pPr>
      <w:r>
        <w:rPr>
          <w:rFonts w:ascii="Hanken Grotesk" w:hAnsi="Hanken Grotesk" w:cs="Hanken Grotesk" w:eastAsia="Hanken Grotesk"/>
          <w:b w:val="0"/>
          <w:i w:val="0"/>
          <w:color w:val="16202B"/>
          <w:sz w:val="21"/>
        </w:rPr>
        <w:t>Maturity also looks like two-sided behavior, and 2026 delivered that. A sovereign wealth vehicle, Abu Dhabi's Mubadala, continued accumulating IBIT through the first quarter. [19] A US public pension, Wisconsin's investment board, exited entirely. [20] The largest US academic endowment, Harvard, trimmed its position by roughly 43% but kept the Bitcoin ETF as its single largest disclosed listed holding. [20] Some bought, some sold, some rebalanced. That is what an institutional asset class looks like. It is not what a bubble looks like.</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The signature of institutionalization is not unanimity of conviction. It is the presence of disciplined, disclosed, two-sided institutional behavior, persisting through a price decline.</w:t>
      </w:r>
    </w:p>
    <w:p>
      <w:pPr>
        <w:spacing w:after="160"/>
      </w:pPr>
      <w:r>
        <w:rPr>
          <w:rFonts w:ascii="Hanken Grotesk" w:hAnsi="Hanken Grotesk" w:cs="Hanken Grotesk" w:eastAsia="Hanken Grotesk"/>
          <w:b w:val="0"/>
          <w:i w:val="0"/>
          <w:color w:val="16202B"/>
          <w:sz w:val="21"/>
        </w:rPr>
        <w:t>None of this would have been possible without a change in the rules, and that change is itself evidence of institutionalization. In a thirteen-month window, the United States rescinded the accounting treatment that kept crypto off bank balance sheets (SAB 122, replacing SAB 121, January 2025), issued an executive order directing federal support for digital assets (EO 14178, January 2025), affirmed that national banks may custody crypto and removed the supervisory non-objection gate (OCC Interpretive Letter 1183, March 2025), dismissed its flagship enforcement action against Coinbase (February 2025), and approved generic listing standards that compressed crypto ETP time-to-market from many months to roughly sixty to seventy-five days (September 2025). [21][22][23][24][25] The plumbing was rebuilt. Capital followed the plumbing.</w:t>
      </w:r>
    </w:p>
    <w:p>
      <w:pPr>
        <w:keepNext/>
        <w:spacing w:before="320" w:after="120"/>
        <w:pBdr>
          <w:bottom w:val="single" w:sz="4" w:space="4" w:color="D8A94A"/>
        </w:pBdr>
      </w:pPr>
      <w:r>
        <w:rPr>
          <w:rFonts w:ascii="Fraunces" w:hAnsi="Fraunces" w:cs="Fraunces" w:eastAsia="Fraunces"/>
          <w:b/>
          <w:i w:val="0"/>
          <w:color w:val="D8A94A"/>
          <w:sz w:val="32"/>
        </w:rPr>
        <w:t>2. The market re-sorted toward size and quality</w:t>
      </w:r>
    </w:p>
    <w:p>
      <w:pPr>
        <w:spacing w:after="160"/>
      </w:pPr>
      <w:r>
        <w:rPr>
          <w:rFonts w:ascii="Hanken Grotesk" w:hAnsi="Hanken Grotesk" w:cs="Hanken Grotesk" w:eastAsia="Hanken Grotesk"/>
          <w:b w:val="0"/>
          <w:i w:val="0"/>
          <w:color w:val="16202B"/>
          <w:sz w:val="21"/>
        </w:rPr>
        <w:t>If institutional capital had truly arrived, it would leave a fingerprint, and the fingerprint is unmistakable: a flight to size, liquidity, and benchmarkability.</w:t>
      </w:r>
    </w:p>
    <w:p>
      <w:pPr>
        <w:spacing w:after="160"/>
      </w:pPr>
      <w:r>
        <w:rPr>
          <w:rFonts w:ascii="Hanken Grotesk" w:hAnsi="Hanken Grotesk" w:cs="Hanken Grotesk" w:eastAsia="Hanken Grotesk"/>
          <w:b w:val="0"/>
          <w:i w:val="0"/>
          <w:color w:val="16202B"/>
          <w:sz w:val="21"/>
        </w:rPr>
        <w:t>Over three years, the MarketVector Digital Assets 100 Large-Cap Index returned roughly +97% while its Small-Cap counterpart returned roughly -69%; over five years the gap is wider still, with the small-cap index sitting near multi-year lows. [7] The small-cap gauge offered no diversification benefit on the way down, retaining a correlation near 0.9 to large-cap crypto while badly underperforming it. [26] The "alt season" thesis, that capital rotates down the risk curve into the long tail, did not survive contact with institutional flows.</w:t>
      </w:r>
    </w:p>
    <w:p>
      <w:pPr>
        <w:spacing w:after="160"/>
      </w:pPr>
      <w:r>
        <w:rPr>
          <w:rFonts w:ascii="Hanken Grotesk" w:hAnsi="Hanken Grotesk" w:cs="Hanken Grotesk" w:eastAsia="Hanken Grotesk"/>
          <w:b w:val="0"/>
          <w:i w:val="0"/>
          <w:color w:val="16202B"/>
          <w:sz w:val="21"/>
        </w:rPr>
        <w:t>Concentration tells the same story. Bitcoin dominance ended the first quarter of 2026 at 55.8% of total crypto market capitalization, with Ethereum at 9.3%, so the two largest assets alone accounted for roughly 65% of the asset class. [8] Bitcoin represented 64.9% of the combined market cap of the top ten cryptoassets, down from 87% in 2014, with regulated stablecoins now a structural 11.6% share of that top ten. [27] The top ten assets hold roughly four-fifths of all crypto market value. [27] Capital concentrated where institutions can actually operate: the liquid, regulated, indexable top of the market.</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Institutional capital does not buy the whole market. It buys the part of the market that is liquid enough to enter and exit at scale, regulated enough to custody, and benchmarkable enough to report. In 2024 through 2026, that part won, and the rest collapsed.</w:t>
      </w:r>
    </w:p>
    <w:p>
      <w:pPr>
        <w:spacing w:after="160"/>
      </w:pPr>
      <w:r>
        <w:rPr>
          <w:rFonts w:ascii="Hanken Grotesk" w:hAnsi="Hanken Grotesk" w:cs="Hanken Grotesk" w:eastAsia="Hanken Grotesk"/>
          <w:b w:val="0"/>
          <w:i w:val="0"/>
          <w:color w:val="16202B"/>
          <w:sz w:val="21"/>
        </w:rPr>
        <w:t>This re-sorting is precisely what factor research detects, and it is worth being clear about what is and is not proprietary here. The inversion of the crypto size premium, from a historical small-cap tilt toward large-cap outperformance, is observable in public index data (MarketVector) and in the published academic record on crypto factors. [7][28] It is also, independently, what Anchorage's internal factor research has measured. We reference that internal corroboration without publishing its figures; the public record alone establishes the point.</w:t>
      </w:r>
    </w:p>
    <w:p>
      <w:pPr>
        <w:spacing w:after="160"/>
      </w:pPr>
      <w:r>
        <w:rPr>
          <w:rFonts w:ascii="Hanken Grotesk" w:hAnsi="Hanken Grotesk" w:cs="Hanken Grotesk" w:eastAsia="Hanken Grotesk"/>
          <w:b w:val="0"/>
          <w:i w:val="0"/>
          <w:color w:val="16202B"/>
          <w:sz w:val="21"/>
        </w:rPr>
        <w:t>The deeper reading is the one Nathan McCauley has made publicly: the spot ETF did not create demand, it unlocked latent demand that already existed. The 2026 data refines that claim. The demand that the ETF unlocked is discriminating. It is concentrating in the assets that institutions can hold inside regulated structures, and it is leaving the rest behind.</w:t>
      </w:r>
    </w:p>
    <w:p>
      <w:pPr>
        <w:keepNext/>
        <w:spacing w:before="320" w:after="120"/>
        <w:pBdr>
          <w:bottom w:val="single" w:sz="4" w:space="4" w:color="D8A94A"/>
        </w:pBdr>
      </w:pPr>
      <w:r>
        <w:rPr>
          <w:rFonts w:ascii="Fraunces" w:hAnsi="Fraunces" w:cs="Fraunces" w:eastAsia="Fraunces"/>
          <w:b/>
          <w:i w:val="0"/>
          <w:color w:val="D8A94A"/>
          <w:sz w:val="32"/>
        </w:rPr>
        <w:t>3. Crypto is becoming its own asset class, not a leveraged Nasdaq</w:t>
      </w:r>
    </w:p>
    <w:p>
      <w:pPr>
        <w:spacing w:after="160"/>
      </w:pPr>
      <w:r>
        <w:rPr>
          <w:rFonts w:ascii="Hanken Grotesk" w:hAnsi="Hanken Grotesk" w:cs="Hanken Grotesk" w:eastAsia="Hanken Grotesk"/>
          <w:b w:val="0"/>
          <w:i w:val="0"/>
          <w:color w:val="16202B"/>
          <w:sz w:val="21"/>
        </w:rPr>
        <w:t>A common shorthand holds that bitcoin is simply a high-beta proxy for the Nasdaq, a risk-on bet that rises and falls with technology equities at an amplified rate. The evidence supports a more precise, and more interesting, conclusion.</w:t>
      </w:r>
    </w:p>
    <w:p>
      <w:pPr>
        <w:spacing w:after="160"/>
      </w:pPr>
      <w:r>
        <w:rPr>
          <w:rFonts w:ascii="Hanken Grotesk" w:hAnsi="Hanken Grotesk" w:cs="Hanken Grotesk" w:eastAsia="Hanken Grotesk"/>
          <w:b w:val="0"/>
          <w:i w:val="0"/>
          <w:color w:val="16202B"/>
          <w:sz w:val="21"/>
        </w:rPr>
        <w:t>The structural floor of crypto's correlation to equities did rise with institutionalization. Academic regression on daily returns found bitcoin's correlation to the Nasdaq 100 climbed from roughly -0.10 before 2021 to an annual high near 0.76 in 2024, reaching a 180-day rolling peak of 0.87 after MicroStrategy entered the Nasdaq 100, the highest in the 2018 to 2025 sample, and the paper attributes the rise to institutional adoption rather than to transient risk sentiment. [9] Institutionalization tied crypto more tightly to the broader market. That is real.</w:t>
      </w:r>
    </w:p>
    <w:p>
      <w:pPr>
        <w:spacing w:after="160"/>
      </w:pPr>
      <w:r>
        <w:rPr>
          <w:rFonts w:ascii="Hanken Grotesk" w:hAnsi="Hanken Grotesk" w:cs="Hanken Grotesk" w:eastAsia="Hanken Grotesk"/>
          <w:b w:val="0"/>
          <w:i w:val="0"/>
          <w:color w:val="16202B"/>
          <w:sz w:val="21"/>
        </w:rPr>
        <w:t>But the linkage is regime-dependent, not a fixed beta, and it broke when it mattered. Coin Metrics put bitcoin's market beta to the S&amp;P 500 well above 1 through much of 2024 and trending lower into 2025. [10] After the April 2025 tariff selloff, Kaiko found bitcoin's 90-day correlation to the Nasdaq fell to 0.27, its lowest since September 2024, before recovering to around 0.42. [29] By early December 2025, as bitcoin fell roughly 27% from its October peak while the Nasdaq 100 sat about 2% off record highs, the 20-day correlation went negative, to -0.43. [11] K33 found that bitcoin's beta actually declined during the strongest equity rallies, the opposite of what a leveraged-Nasdaq framing predicts. [30]</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Crypto's correlation to equities is structurally elevated versus the pre-2021 era but regime-dependent, and it decoupled sharply in the 2025 to 2026 drawdown. Crypto is not a leveraged technology-equity proxy. It is becoming an independent institutional asset class with its own risk drivers.</w:t>
      </w:r>
    </w:p>
    <w:p>
      <w:pPr>
        <w:spacing w:after="160"/>
      </w:pPr>
      <w:r>
        <w:rPr>
          <w:rFonts w:ascii="Hanken Grotesk" w:hAnsi="Hanken Grotesk" w:cs="Hanken Grotesk" w:eastAsia="Hanken Grotesk"/>
          <w:b w:val="0"/>
          <w:i w:val="0"/>
          <w:color w:val="16202B"/>
          <w:sz w:val="21"/>
        </w:rPr>
        <w:t>That independence is not only a correlation story. It is a structural one. The academic literature now documents a stable factor architecture for crypto returns that mirrors mature asset classes: a three-factor model of market, size, and momentum prices the cross-section of returns (Liu, Tsyvinski, and Wu, Journal of Finance, 2022); downside beta is a separately priced risk (Journal of Banking and Finance, 2021); a machine-learning trend factor survives transaction costs and is not subsumed by the others (Journal of Financial and Quantitative Analysis, 2025); and blockchain-fundamentals factors price returns at least as well as return-based factors (2023). [28][31][32][33] An asset class with a published, peer-reviewed factor structure is an asset class that institutions can model, hedge, and allocate to on their own terms. This is the analytical lineage Anchorage's own factor research sits within.</w:t>
      </w:r>
    </w:p>
    <w:p>
      <w:pPr>
        <w:spacing w:after="160"/>
      </w:pPr>
      <w:r>
        <w:rPr>
          <w:rFonts w:ascii="Hanken Grotesk" w:hAnsi="Hanken Grotesk" w:cs="Hanken Grotesk" w:eastAsia="Hanken Grotesk"/>
          <w:b w:val="0"/>
          <w:i w:val="0"/>
          <w:color w:val="16202B"/>
          <w:sz w:val="21"/>
        </w:rPr>
        <w:t>For an institution, the implication is the one that matters: crypto is no longer a satellite bet on technology momentum. It is a distinct exposure that requires its own custody, its own risk framework, and its own infrastructure.</w:t>
      </w:r>
    </w:p>
    <w:p>
      <w:pPr>
        <w:keepNext/>
        <w:spacing w:before="320" w:after="120"/>
        <w:pBdr>
          <w:bottom w:val="single" w:sz="4" w:space="4" w:color="D8A94A"/>
        </w:pBdr>
      </w:pPr>
      <w:r>
        <w:rPr>
          <w:rFonts w:ascii="Fraunces" w:hAnsi="Fraunces" w:cs="Fraunces" w:eastAsia="Fraunces"/>
          <w:b/>
          <w:i w:val="0"/>
          <w:color w:val="D8A94A"/>
          <w:sz w:val="32"/>
        </w:rPr>
        <w:t>4. From asset to infrastructure</w:t>
      </w:r>
    </w:p>
    <w:p>
      <w:pPr>
        <w:spacing w:after="160"/>
      </w:pPr>
      <w:r>
        <w:rPr>
          <w:rFonts w:ascii="Hanken Grotesk" w:hAnsi="Hanken Grotesk" w:cs="Hanken Grotesk" w:eastAsia="Hanken Grotesk"/>
          <w:b w:val="0"/>
          <w:i w:val="0"/>
          <w:color w:val="16202B"/>
          <w:sz w:val="21"/>
        </w:rPr>
        <w:t>The clearest sign that an asset class has institutionalized is that it stops being only something you hold and becomes something you build on. By 2026, crypto had crossed that line.</w:t>
      </w:r>
    </w:p>
    <w:p>
      <w:pPr>
        <w:spacing w:after="160"/>
      </w:pPr>
      <w:r>
        <w:rPr>
          <w:rFonts w:ascii="Hanken Grotesk" w:hAnsi="Hanken Grotesk" w:cs="Hanken Grotesk" w:eastAsia="Hanken Grotesk"/>
          <w:b/>
          <w:i w:val="0"/>
          <w:color w:val="16202B"/>
          <w:sz w:val="21"/>
        </w:rPr>
        <w:t>Charters.</w:t>
      </w:r>
      <w:r>
        <w:rPr>
          <w:rFonts w:ascii="Hanken Grotesk" w:hAnsi="Hanken Grotesk" w:cs="Hanken Grotesk" w:eastAsia="Hanken Grotesk"/>
          <w:b w:val="0"/>
          <w:i w:val="0"/>
          <w:color w:val="16202B"/>
          <w:sz w:val="21"/>
        </w:rPr>
        <w:t xml:space="preserve"> Anchorage Digital became the first crypto-native firm to operate a national trust bank charter from the Office of the Comptroller of the Currency, in 2021. [12] In December 2025, the OCC conditionally approved five more crypto-native national trust charters in a single action, for Circle, Ripple, BitGo, Fidelity Digital Assets, and Paxos. [34] The federal banking system is absorbing digital assets into its own perimeter.</w:t>
      </w:r>
    </w:p>
    <w:p>
      <w:pPr>
        <w:spacing w:after="160"/>
      </w:pPr>
      <w:r>
        <w:rPr>
          <w:rFonts w:ascii="Hanken Grotesk" w:hAnsi="Hanken Grotesk" w:cs="Hanken Grotesk" w:eastAsia="Hanken Grotesk"/>
          <w:b/>
          <w:i w:val="0"/>
          <w:color w:val="16202B"/>
          <w:sz w:val="21"/>
        </w:rPr>
        <w:t>A stablecoin law.</w:t>
      </w:r>
      <w:r>
        <w:rPr>
          <w:rFonts w:ascii="Hanken Grotesk" w:hAnsi="Hanken Grotesk" w:cs="Hanken Grotesk" w:eastAsia="Hanken Grotesk"/>
          <w:b w:val="0"/>
          <w:i w:val="0"/>
          <w:color w:val="16202B"/>
          <w:sz w:val="21"/>
        </w:rPr>
        <w:t xml:space="preserve"> The GENIUS Act, the first US federal framework for payment stablecoins, was signed into law on July 18, 2025 as Public Law 119-27, on bipartisan votes (Senate 68-30, House 308-122). [13] It requires full reserve backing in cash and short-term Treasuries, monthly public reserve disclosures, and limits issuance to regulated entities. The OCC issued its implementing proposed rule in February 2026. [35] A market-structure bill, the CLARITY Act, advanced through Senate Banking on a bipartisan 15-9 vote in May 2026, though it is not yet law. [36]</w:t>
      </w:r>
    </w:p>
    <w:p>
      <w:pPr>
        <w:spacing w:after="160"/>
      </w:pPr>
      <w:r>
        <w:rPr>
          <w:rFonts w:ascii="Hanken Grotesk" w:hAnsi="Hanken Grotesk" w:cs="Hanken Grotesk" w:eastAsia="Hanken Grotesk"/>
          <w:b/>
          <w:i w:val="0"/>
          <w:color w:val="16202B"/>
          <w:sz w:val="21"/>
        </w:rPr>
        <w:t>Custody migrating onto chartered banks.</w:t>
      </w:r>
      <w:r>
        <w:rPr>
          <w:rFonts w:ascii="Hanken Grotesk" w:hAnsi="Hanken Grotesk" w:cs="Hanken Grotesk" w:eastAsia="Hanken Grotesk"/>
          <w:b w:val="0"/>
          <w:i w:val="0"/>
          <w:color w:val="16202B"/>
          <w:sz w:val="21"/>
        </w:rPr>
        <w:t xml:space="preserve"> BlackRock named Anchorage Digital Bank an eligible custodian for its spot crypto exchange-traded products, extending a relationship that already custodied BlackRock's tokenized BUIDL fund. [37] The asset manager 3iQ selected Anchorage to custody and run infrastructure for six exchange-traded products listed on the Toronto Stock Exchange. [38] U.S. Bank, a custodian with more than $11.7 trillion in assets under custody and administration, was selected to hold the reserves backing Anchorage's payment stablecoins, a structure that pairs a traditional custodian with a chartered crypto bank. [14] Anchorage's Atlas settlement and collateral network scaled roughly fourfold in a year to nearly 600 participants. [39] Regulated capital wants regulated custody, and it is moving there.</w:t>
      </w:r>
    </w:p>
    <w:p>
      <w:pPr>
        <w:spacing w:after="160"/>
      </w:pPr>
      <w:r>
        <w:rPr>
          <w:rFonts w:ascii="Hanken Grotesk" w:hAnsi="Hanken Grotesk" w:cs="Hanken Grotesk" w:eastAsia="Hanken Grotesk"/>
          <w:b/>
          <w:i w:val="0"/>
          <w:color w:val="16202B"/>
          <w:sz w:val="21"/>
        </w:rPr>
        <w:t>Stablecoins as settlement infrastructure.</w:t>
      </w:r>
      <w:r>
        <w:rPr>
          <w:rFonts w:ascii="Hanken Grotesk" w:hAnsi="Hanken Grotesk" w:cs="Hanken Grotesk" w:eastAsia="Hanken Grotesk"/>
          <w:b w:val="0"/>
          <w:i w:val="0"/>
          <w:color w:val="16202B"/>
          <w:sz w:val="21"/>
        </w:rPr>
        <w:t xml:space="preserve"> This is where the rails are most visible. Circle reported USDC in circulation grew 28% year over year to $77 billion in the first quarter of 2026, with on-chain transaction volume up 263% to $21.5 trillion, surpassing USDT's volume for the first time since 2019. [40] Chainalysis estimated $28 trillion in real, adjusted stablecoin economic volume in 2025, growing at a 133% annual rate since 2023. [41] The institutional use cases are now concrete: Western Union launched USDPT, a federally regulated dollar stablecoin issued by Anchorage Digital Bank on Solana, as a 24/7 settlement alternative to SWIFT across its network of more than 550,000 agent locations. [42] State Street and Galaxy launched a tokenized liquidity fund that settles in PayPal's stablecoin. [43] Visa and Mastercard are settling and routing in stablecoins directly. [44]</w:t>
      </w:r>
    </w:p>
    <w:p>
      <w:pPr>
        <w:spacing w:after="160"/>
      </w:pPr>
      <w:r>
        <w:rPr>
          <w:rFonts w:ascii="Hanken Grotesk" w:hAnsi="Hanken Grotesk" w:cs="Hanken Grotesk" w:eastAsia="Hanken Grotesk"/>
          <w:b w:val="0"/>
          <w:i w:val="0"/>
          <w:color w:val="16202B"/>
          <w:sz w:val="21"/>
        </w:rPr>
        <w:t>A note on attribution. Anchorage describes itself as the first federally chartered stablecoin issuer under the GENIUS Act and markets USDtb as America's first federally regulated stablecoin. [45] Those are Anchorage's own characterizations of its position, and we present them as such.</w:t>
      </w:r>
    </w:p>
    <w:p>
      <w:pPr>
        <w:spacing w:after="160"/>
      </w:pPr>
      <w:r>
        <w:rPr>
          <w:rFonts w:ascii="Hanken Grotesk" w:hAnsi="Hanken Grotesk" w:cs="Hanken Grotesk" w:eastAsia="Hanken Grotesk"/>
          <w:b/>
          <w:i w:val="0"/>
          <w:color w:val="16202B"/>
          <w:sz w:val="21"/>
        </w:rPr>
        <w:t>The honest exception: tokenization.</w:t>
      </w:r>
      <w:r>
        <w:rPr>
          <w:rFonts w:ascii="Hanken Grotesk" w:hAnsi="Hanken Grotesk" w:cs="Hanken Grotesk" w:eastAsia="Hanken Grotesk"/>
          <w:b w:val="0"/>
          <w:i w:val="0"/>
          <w:color w:val="16202B"/>
          <w:sz w:val="21"/>
        </w:rPr>
        <w:t xml:space="preserve"> Not every part of this story is ahead of schedule, and a credible institutional paper should say so. Total on-chain tokenized real-world assets, excluding stablecoins, stood at roughly $31.5 billion in June 2026, with tokenized US Treasuries at about $14.8 billion, concentrated in a handful of institutional funds, and the category was roughly flat over the prior thirty days. [46] Tokenized equities trade at under 1% of the volume of their traditional-market equivalents. [47] Against McKinsey's conservative 2030 base case of $2 trillion to $4 trillion, and Citi's $5.5 trillion, the realized figure is one to two orders of magnitude smaller. [48][49] The direction of tokenization is not in doubt. Its realized business model and secondary-market liquidity are not yet here. Building the rails is necessary; assuming the volume will arrive on its own is not warranted by the data.</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Institutionalization is no longer a flow story. It is an infrastructure story. The assets that matter are now custodied by chartered banks, settled in regulated stablecoins, and governed by federal law. The exception, tokenization of assets beyond cash, marks where the infrastructure is built but the volume has not yet followed.</w:t>
      </w:r>
    </w:p>
    <w:p>
      <w:pPr>
        <w:keepNext/>
        <w:spacing w:before="320" w:after="120"/>
        <w:pBdr>
          <w:bottom w:val="single" w:sz="4" w:space="4" w:color="D8A94A"/>
        </w:pBdr>
      </w:pPr>
      <w:r>
        <w:rPr>
          <w:rFonts w:ascii="Fraunces" w:hAnsi="Fraunces" w:cs="Fraunces" w:eastAsia="Fraunces"/>
          <w:b/>
          <w:i w:val="0"/>
          <w:color w:val="D8A94A"/>
          <w:sz w:val="32"/>
        </w:rPr>
        <w:t>5. The next frontier is a new kind of participant</w:t>
      </w:r>
    </w:p>
    <w:p>
      <w:pPr>
        <w:spacing w:after="160"/>
      </w:pPr>
      <w:r>
        <w:rPr>
          <w:rFonts w:ascii="Hanken Grotesk" w:hAnsi="Hanken Grotesk" w:cs="Hanken Grotesk" w:eastAsia="Hanken Grotesk"/>
          <w:b w:val="0"/>
          <w:i w:val="0"/>
          <w:color w:val="16202B"/>
          <w:sz w:val="21"/>
        </w:rPr>
        <w:t>Everything above describes capital and infrastructure. The next phase introduces a new actor: the autonomous agent.</w:t>
      </w:r>
    </w:p>
    <w:p>
      <w:pPr>
        <w:spacing w:after="160"/>
      </w:pPr>
      <w:r>
        <w:rPr>
          <w:rFonts w:ascii="Hanken Grotesk" w:hAnsi="Hanken Grotesk" w:cs="Hanken Grotesk" w:eastAsia="Hanken Grotesk"/>
          <w:b w:val="0"/>
          <w:i w:val="0"/>
          <w:color w:val="16202B"/>
          <w:sz w:val="21"/>
        </w:rPr>
        <w:t>The economic case is being made by the most conservative institutions in finance. McKinsey estimates agentic AI could reduce banking operating costs by up to 20%, open a four-percentage-point return-on-tangible-equity gap between leaders and laggards, and put as much as 10% of the industry's roughly $1.2 trillion profit pool at risk over five to ten years. [50] Citi argues agentic AI could affect finance more than the internet did, and names financial services the second-largest consumer of generative AI. [51] Gartner projects that 40% of enterprise applications will embed task-specific AI agents by the end of 2026, up from under 5% in 2025. [52] Boston Consulting Group finds agentic AI has reached 35% enterprise adoption in two years. [53]</w:t>
      </w:r>
    </w:p>
    <w:p>
      <w:pPr>
        <w:spacing w:after="160"/>
      </w:pPr>
      <w:r>
        <w:rPr>
          <w:rFonts w:ascii="Hanken Grotesk" w:hAnsi="Hanken Grotesk" w:cs="Hanken Grotesk" w:eastAsia="Hanken Grotesk"/>
          <w:b w:val="0"/>
          <w:i w:val="0"/>
          <w:color w:val="16202B"/>
          <w:sz w:val="21"/>
        </w:rPr>
        <w:t>A discipline note belongs here, because the same sources that size the opportunity also flag the risk. Gartner predicts that more than 40% of agentic AI projects will be canceled by the end of 2027, citing cost, unclear value, and weak risk controls. [54] The agent economy is arriving, and it is arriving unevenly. The firms that govern it well will be the ones whose agents are allowed near real money.</w:t>
      </w:r>
    </w:p>
    <w:p>
      <w:pPr>
        <w:spacing w:after="160"/>
      </w:pPr>
      <w:r>
        <w:rPr>
          <w:rFonts w:ascii="Hanken Grotesk" w:hAnsi="Hanken Grotesk" w:cs="Hanken Grotesk" w:eastAsia="Hanken Grotesk"/>
          <w:b w:val="0"/>
          <w:i w:val="0"/>
          <w:color w:val="16202B"/>
          <w:sz w:val="21"/>
        </w:rPr>
        <w:t>That is not hypothetical, because agents are already transacting. Coinbase's x402 payment protocol crossed more than 100 million cumulative agent transactions on the Base network in roughly three quarters, with the transaction mix shifting decisively toward real economic payments. [55] In April 2026, x402 moved to neutral governance under the Linux Foundation, with founding members spanning Circle, Visa, Mastercard, American Express, Google, Microsoft, Amazon Web Services, Stripe, Cloudflare, Shopify, and the Solana and Polygon ecosystems; Google made it the default stablecoin rail in its agentic payments protocol. [56] Ethereum's ERC-8004 standard for agent identity went live on mainnet in January 2026, authored by contributors from MetaMask, the Ethereum Foundation, Google, and Coinbase. [57] Mastercard completed its first live agentic payment in September 2025 and rolled the capability across all US cardholders by November. [58] Analysts project US agentic commerce revenue could reach $1 trillion by 2030 (ICSC and McKinsey) and account for 10% to 20% of online retail (Morgan Stanley). [59][60]</w:t>
      </w:r>
    </w:p>
    <w:p>
      <w:pPr>
        <w:spacing w:after="160"/>
      </w:pPr>
      <w:r>
        <w:rPr>
          <w:rFonts w:ascii="Hanken Grotesk" w:hAnsi="Hanken Grotesk" w:cs="Hanken Grotesk" w:eastAsia="Hanken Grotesk"/>
          <w:b w:val="0"/>
          <w:i w:val="0"/>
          <w:color w:val="16202B"/>
          <w:sz w:val="21"/>
        </w:rPr>
        <w:t>The trajectory is clear. Agents will not stop at retail microtransactions. They will hold balances, manage collateral, execute against portfolios, and act on institutional capital.</w:t>
      </w:r>
    </w:p>
    <w:p>
      <w:pPr>
        <w:keepNext/>
        <w:spacing w:before="320" w:after="120"/>
        <w:pBdr>
          <w:bottom w:val="single" w:sz="4" w:space="4" w:color="D8A94A"/>
        </w:pBdr>
      </w:pPr>
      <w:r>
        <w:rPr>
          <w:rFonts w:ascii="Fraunces" w:hAnsi="Fraunces" w:cs="Fraunces" w:eastAsia="Fraunces"/>
          <w:b/>
          <w:i w:val="0"/>
          <w:color w:val="D8A94A"/>
          <w:sz w:val="32"/>
        </w:rPr>
        <w:t>6. The gap the standards leave open</w:t>
      </w:r>
    </w:p>
    <w:p>
      <w:pPr>
        <w:spacing w:after="160"/>
      </w:pPr>
      <w:r>
        <w:rPr>
          <w:rFonts w:ascii="Hanken Grotesk" w:hAnsi="Hanken Grotesk" w:cs="Hanken Grotesk" w:eastAsia="Hanken Grotesk"/>
          <w:b w:val="0"/>
          <w:i w:val="0"/>
          <w:color w:val="16202B"/>
          <w:sz w:val="21"/>
        </w:rPr>
        <w:t>Here is the load-bearing observation of this paper. The standards being built for the agent economy are good, they are converging, and they were deliberately designed to stop short of the functions regulated finance depends on.</w:t>
      </w:r>
    </w:p>
    <w:p>
      <w:pPr>
        <w:spacing w:after="160"/>
      </w:pPr>
      <w:r>
        <w:rPr>
          <w:rFonts w:ascii="Hanken Grotesk" w:hAnsi="Hanken Grotesk" w:cs="Hanken Grotesk" w:eastAsia="Hanken Grotesk"/>
          <w:b w:val="0"/>
          <w:i w:val="0"/>
          <w:color w:val="16202B"/>
          <w:sz w:val="21"/>
        </w:rPr>
        <w:t>Consider what the standards actually cover. The MIT Media Lab's foundational January 2025 work proposes authenticated, authorized, auditable delegation to AI agents by extending existing identity protocols, and it does not even use the phrase "Know Your Agent." [61] Skyfire positions itself as a leader of Know Your Agent, issuing signed credentials that bind an agent to a verified human and its permissions. [62] Experian launched its own Know Your Agent framework using Skyfire's protocol as the identity layer. [63] The identity-verification incumbents Sumsub and Trulioo both use the same three-word label, and both scope it explicitly to identity, authorization, and auditability, and explicitly not to underwriting, credit decisions, or asset custody. [15] Ethereum's ERC-8004 defines identity, reputation, and validation registries and, in its authors' own words, "does not cover payments," leaving application logic off-chain. [16] Visa's Trusted Agent Protocol confirms that an agent is authorized to act for a consumer; it is authentication, not custody. [64]</w:t>
      </w:r>
    </w:p>
    <w:p>
      <w:pPr>
        <w:spacing w:after="160"/>
      </w:pPr>
      <w:r>
        <w:rPr>
          <w:rFonts w:ascii="Hanken Grotesk" w:hAnsi="Hanken Grotesk" w:cs="Hanken Grotesk" w:eastAsia="Hanken Grotesk"/>
          <w:b w:val="0"/>
          <w:i w:val="0"/>
          <w:color w:val="16202B"/>
          <w:sz w:val="21"/>
        </w:rPr>
        <w:t>Two facts follow. First, Know Your Agent is a contested category, not any single firm's coinage, with academic, vendor, payments-network, and protocol claimants all using the term. Anchorage does not own it, and this paper does not claim otherwise. Second, and more important, every one of these standards answers the same two questions, "who is this agent, and what is it allowed to do," and none of them answers the three questions that a regulated institution must answer before it lets an agent touch its capital: who underwrites the agent, who custodies the assets it acts on, and who is accountable when it fails. As of June 2026, no financial regulator has issued a Know Your Agent standard. [15]</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The agent-economy standards establish identity and authorization. They do not, by design, establish underwriting, custody, or accountability. That gap is not a flaw in the standards. It is a banking function the standards correctly leave to banks.</w:t>
      </w:r>
    </w:p>
    <w:p>
      <w:pPr>
        <w:keepNext/>
        <w:spacing w:before="320" w:after="120"/>
        <w:pBdr>
          <w:bottom w:val="single" w:sz="4" w:space="4" w:color="D8A94A"/>
        </w:pBdr>
      </w:pPr>
      <w:r>
        <w:rPr>
          <w:rFonts w:ascii="Fraunces" w:hAnsi="Fraunces" w:cs="Fraunces" w:eastAsia="Fraunces"/>
          <w:b/>
          <w:i w:val="0"/>
          <w:color w:val="D8A94A"/>
          <w:sz w:val="32"/>
        </w:rPr>
        <w:t>7. The position: Know Your Agent, from inside a regulated bank</w:t>
      </w:r>
    </w:p>
    <w:p>
      <w:pPr>
        <w:spacing w:after="160"/>
      </w:pPr>
      <w:r>
        <w:rPr>
          <w:rFonts w:ascii="Hanken Grotesk" w:hAnsi="Hanken Grotesk" w:cs="Hanken Grotesk" w:eastAsia="Hanken Grotesk"/>
          <w:b w:val="0"/>
          <w:i w:val="0"/>
          <w:color w:val="16202B"/>
          <w:sz w:val="21"/>
        </w:rPr>
        <w:t>The pattern of the last three years is the argument for the next three.</w:t>
      </w:r>
    </w:p>
    <w:p>
      <w:pPr>
        <w:spacing w:after="160"/>
      </w:pPr>
      <w:r>
        <w:rPr>
          <w:rFonts w:ascii="Hanken Grotesk" w:hAnsi="Hanken Grotesk" w:cs="Hanken Grotesk" w:eastAsia="Hanken Grotesk"/>
          <w:b w:val="0"/>
          <w:i w:val="0"/>
          <w:color w:val="16202B"/>
          <w:sz w:val="21"/>
        </w:rPr>
        <w:t>Institutional capital did not flow into crypto until it could be held in regulated, custodied, benchmarkable structures. When those structures arrived, the capital came, and it stayed through a drawdown. The agent economy will follow the same path. Institutions will not deploy autonomous agents against real capital until the agent can be underwritten, the assets it touches can be custodied under governed controls, and a regulated entity stands behind the outcome.</w:t>
      </w:r>
    </w:p>
    <w:p>
      <w:pPr>
        <w:spacing w:after="160"/>
      </w:pPr>
      <w:r>
        <w:rPr>
          <w:rFonts w:ascii="Hanken Grotesk" w:hAnsi="Hanken Grotesk" w:cs="Hanken Grotesk" w:eastAsia="Hanken Grotesk"/>
          <w:b w:val="0"/>
          <w:i w:val="0"/>
          <w:color w:val="16202B"/>
          <w:sz w:val="21"/>
        </w:rPr>
        <w:t>That is the regulated-bank reading of Know Your Agent. It is not the identity layer, which the standards already provide. It is the layer above and beneath the identity layer: underwriting the agent before it transacts, custodying the assets it acts on with segmented, governed, recoverable controls (an allowance, not the keys), and carrying the accountability that a charter requires. Anchorage's position is that these controls are not friction on the agent economy. They are its on-ramp. An agent that a regulated bank can stand behind is an agent that an institution can actually use.</w:t>
      </w:r>
    </w:p>
    <w:p>
      <w:pPr>
        <w:spacing w:after="160"/>
      </w:pPr>
      <w:r>
        <w:rPr>
          <w:rFonts w:ascii="Hanken Grotesk" w:hAnsi="Hanken Grotesk" w:cs="Hanken Grotesk" w:eastAsia="Hanken Grotesk"/>
          <w:b w:val="0"/>
          <w:i w:val="0"/>
          <w:color w:val="16202B"/>
          <w:sz w:val="21"/>
        </w:rPr>
        <w:t>This is the continuation of a single thesis. Crypto institutionalized because the regulated layer made it usable at scale. The agent economy will institutionalize the same way, or it will stall in the same place tokenization has, with the rails built and the institutional volume waiting on the trust layer.</w:t>
      </w:r>
    </w:p>
    <w:p>
      <w:pPr>
        <w:spacing w:after="160"/>
      </w:pPr>
      <w:r>
        <w:rPr>
          <w:rFonts w:ascii="Hanken Grotesk" w:hAnsi="Hanken Grotesk" w:cs="Hanken Grotesk" w:eastAsia="Hanken Grotesk"/>
          <w:b w:val="0"/>
          <w:i w:val="0"/>
          <w:color w:val="16202B"/>
          <w:sz w:val="21"/>
        </w:rPr>
        <w:t>The recommendation is direct. Institutions preparing to deploy capital-bearing agents should require a regulated trust layer underneath them, and the firms building agent infrastructure should build on one. The identity standards are necessary. They are not sufficient. Sufficiency is a bank.</w:t>
      </w:r>
    </w:p>
    <w:p>
      <w:pPr>
        <w:keepNext/>
        <w:spacing w:before="320" w:after="120"/>
        <w:pBdr>
          <w:bottom w:val="single" w:sz="4" w:space="4" w:color="D8A94A"/>
        </w:pBdr>
      </w:pPr>
      <w:r>
        <w:rPr>
          <w:rFonts w:ascii="Fraunces" w:hAnsi="Fraunces" w:cs="Fraunces" w:eastAsia="Fraunces"/>
          <w:b/>
          <w:i w:val="0"/>
          <w:color w:val="D8A94A"/>
          <w:sz w:val="32"/>
        </w:rPr>
        <w:t>Methodology</w:t>
      </w:r>
    </w:p>
    <w:p>
      <w:pPr>
        <w:spacing w:after="160"/>
      </w:pPr>
      <w:r>
        <w:rPr>
          <w:rFonts w:ascii="Hanken Grotesk" w:hAnsi="Hanken Grotesk" w:cs="Hanken Grotesk" w:eastAsia="Hanken Grotesk"/>
          <w:b w:val="0"/>
          <w:i w:val="0"/>
          <w:color w:val="16202B"/>
          <w:sz w:val="21"/>
        </w:rPr>
        <w:t>This paper is built on public data, gathered and source-tagged in June 2026. Every quantitative claim carries a numbered citation with a source and an as-of date. Sources are confined to the class an institution can verify independently: primary regulatory and corporate filings (SEC, OCC, CFTC, the White House, Congress, company 10-Qs, 8-Ks, 13Fs, and official press releases), peer-reviewed academic literature, named data providers (CoinGecko, rwa.xyz, Chainalysis, CoinShares, MarketVector, Fintel, Coin Metrics, Kaiko), and named institutional research (McKinsey, Citi, BCG, Gartner, Fidelity, a16z, Grayscale, Coinbase Institutional).</w:t>
      </w:r>
    </w:p>
    <w:p>
      <w:pPr>
        <w:spacing w:after="160"/>
      </w:pPr>
      <w:r>
        <w:rPr>
          <w:rFonts w:ascii="Hanken Grotesk" w:hAnsi="Hanken Grotesk" w:cs="Hanken Grotesk" w:eastAsia="Hanken Grotesk"/>
          <w:b w:val="0"/>
          <w:i w:val="0"/>
          <w:color w:val="16202B"/>
          <w:sz w:val="21"/>
        </w:rPr>
        <w:t>Where figures rest on secondary reporting, that is stated and the figure is softened or attributed. Cumulative spot Bitcoin ETF net-flow figures show genuine cross-source variance in the $55 billion to $58 billion range because the standard flow tracker was not directly accessible; this paper therefore cites per-fund primary filings rather than a precise cumulative aggregate. Anchorage's own first-mover and "America's first" claims are presented as Anchorage's characterizations. Anchorage's internal factor research is referenced as independent corroboration of publicly observable findings, and its proprietary figures are not published. The full 126-finding source ledger underlying this paper is retained at research-findings-raw.json.</w:t>
      </w:r>
    </w:p>
    <w:p>
      <w:pPr>
        <w:keepNext/>
        <w:spacing w:before="320" w:after="120"/>
        <w:pBdr>
          <w:bottom w:val="single" w:sz="4" w:space="4" w:color="D8A94A"/>
        </w:pBdr>
      </w:pPr>
      <w:r>
        <w:rPr>
          <w:rFonts w:ascii="Fraunces" w:hAnsi="Fraunces" w:cs="Fraunces" w:eastAsia="Fraunces"/>
          <w:b/>
          <w:i w:val="0"/>
          <w:color w:val="D8A94A"/>
          <w:sz w:val="32"/>
        </w:rPr>
        <w:t>Sources</w:t>
      </w:r>
    </w:p>
    <w:p>
      <w:pPr>
        <w:spacing w:after="60"/>
        <w:ind w:left="400" w:hanging="400"/>
      </w:pPr>
      <w:r>
        <w:rPr>
          <w:rFonts w:ascii="IBM Plex Mono" w:hAnsi="IBM Plex Mono" w:cs="IBM Plex Mono" w:eastAsia="IBM Plex Mono"/>
          <w:b/>
          <w:i w:val="0"/>
          <w:color w:val="9A7320"/>
          <w:sz w:val="17"/>
        </w:rPr>
        <w:t xml:space="preserve">1.  </w:t>
      </w:r>
      <w:r>
        <w:rPr>
          <w:rFonts w:ascii="Hanken Grotesk" w:hAnsi="Hanken Grotesk" w:cs="Hanken Grotesk" w:eastAsia="Hanken Grotesk"/>
          <w:b w:val="0"/>
          <w:i w:val="0"/>
          <w:color w:val="55606B"/>
          <w:sz w:val="17"/>
        </w:rPr>
        <w:t>Blockhead, "Crypto Markets: Bitcoin Slides Below $67,000 as ETF Outflows Mount" (citing SoSoValue and Yahoo Finance), June 3, 2026. https://www.blockhead.co/2026/06/03/crypto-markets-bitcoin-slides-below-67-000-as-etf-outflows-mount/</w:t>
      </w:r>
    </w:p>
    <w:p>
      <w:pPr>
        <w:spacing w:after="60"/>
        <w:ind w:left="400" w:hanging="400"/>
      </w:pPr>
      <w:r>
        <w:rPr>
          <w:rFonts w:ascii="IBM Plex Mono" w:hAnsi="IBM Plex Mono" w:cs="IBM Plex Mono" w:eastAsia="IBM Plex Mono"/>
          <w:b/>
          <w:i w:val="0"/>
          <w:color w:val="9A7320"/>
          <w:sz w:val="17"/>
        </w:rPr>
        <w:t xml:space="preserve">2.  </w:t>
      </w:r>
      <w:r>
        <w:rPr>
          <w:rFonts w:ascii="Hanken Grotesk" w:hAnsi="Hanken Grotesk" w:cs="Hanken Grotesk" w:eastAsia="Hanken Grotesk"/>
          <w:b w:val="0"/>
          <w:i w:val="0"/>
          <w:color w:val="55606B"/>
          <w:sz w:val="17"/>
        </w:rPr>
        <w:t>CoinGecko 2026 Q1 Crypto Industry Report, April 16, 2026. https://www.coingecko.com/research/publications/2026-q1-crypto-industry-report</w:t>
      </w:r>
    </w:p>
    <w:p>
      <w:pPr>
        <w:spacing w:after="60"/>
        <w:ind w:left="400" w:hanging="400"/>
      </w:pPr>
      <w:r>
        <w:rPr>
          <w:rFonts w:ascii="IBM Plex Mono" w:hAnsi="IBM Plex Mono" w:cs="IBM Plex Mono" w:eastAsia="IBM Plex Mono"/>
          <w:b/>
          <w:i w:val="0"/>
          <w:color w:val="9A7320"/>
          <w:sz w:val="17"/>
        </w:rPr>
        <w:t xml:space="preserve">3.  </w:t>
      </w:r>
      <w:r>
        <w:rPr>
          <w:rFonts w:ascii="Hanken Grotesk" w:hAnsi="Hanken Grotesk" w:cs="Hanken Grotesk" w:eastAsia="Hanken Grotesk"/>
          <w:b w:val="0"/>
          <w:i w:val="0"/>
          <w:color w:val="55606B"/>
          <w:sz w:val="17"/>
        </w:rPr>
        <w:t>SEC EDGAR, iShares Bitcoin Trust ETF Form 10-Q (Q1 2026), filed May 7, 2026. https://www.sec.gov/Archives/edgar/data/0001980994/000143774926015538/bit20260331_10q.htm</w:t>
      </w:r>
    </w:p>
    <w:p>
      <w:pPr>
        <w:spacing w:after="60"/>
        <w:ind w:left="400" w:hanging="400"/>
      </w:pPr>
      <w:r>
        <w:rPr>
          <w:rFonts w:ascii="IBM Plex Mono" w:hAnsi="IBM Plex Mono" w:cs="IBM Plex Mono" w:eastAsia="IBM Plex Mono"/>
          <w:b/>
          <w:i w:val="0"/>
          <w:color w:val="9A7320"/>
          <w:sz w:val="17"/>
        </w:rPr>
        <w:t xml:space="preserve">4.  </w:t>
      </w:r>
      <w:r>
        <w:rPr>
          <w:rFonts w:ascii="Hanken Grotesk" w:hAnsi="Hanken Grotesk" w:cs="Hanken Grotesk" w:eastAsia="Hanken Grotesk"/>
          <w:b w:val="0"/>
          <w:i w:val="0"/>
          <w:color w:val="55606B"/>
          <w:sz w:val="17"/>
        </w:rPr>
        <w:t>Bloomberg Intelligence 13F analysis, via CCN (institutional share of spot Bitcoin ETF assets ~38% Q4 2025, up from ~24%). https://www.ccn.com/news/crypto/bitcoin-etf-holders-list-btc-investors-sec-13f-filing/</w:t>
      </w:r>
    </w:p>
    <w:p>
      <w:pPr>
        <w:spacing w:after="60"/>
        <w:ind w:left="400" w:hanging="400"/>
      </w:pPr>
      <w:r>
        <w:rPr>
          <w:rFonts w:ascii="IBM Plex Mono" w:hAnsi="IBM Plex Mono" w:cs="IBM Plex Mono" w:eastAsia="IBM Plex Mono"/>
          <w:b/>
          <w:i w:val="0"/>
          <w:color w:val="9A7320"/>
          <w:sz w:val="17"/>
        </w:rPr>
        <w:t xml:space="preserve">5.  </w:t>
      </w:r>
      <w:r>
        <w:rPr>
          <w:rFonts w:ascii="Hanken Grotesk" w:hAnsi="Hanken Grotesk" w:cs="Hanken Grotesk" w:eastAsia="Hanken Grotesk"/>
          <w:b w:val="0"/>
          <w:i w:val="0"/>
          <w:color w:val="55606B"/>
          <w:sz w:val="17"/>
        </w:rPr>
        <w:t>CoinShares, "13F Filings of Bitcoin ETFs, Q4 2025 Institutional Report," March 3, 2026. https://coinshares.com/insights/research-data/13f-fillings-of-bitcoin-etfs-q4-2025-institutional-report/</w:t>
      </w:r>
    </w:p>
    <w:p>
      <w:pPr>
        <w:spacing w:after="60"/>
        <w:ind w:left="400" w:hanging="400"/>
      </w:pPr>
      <w:r>
        <w:rPr>
          <w:rFonts w:ascii="IBM Plex Mono" w:hAnsi="IBM Plex Mono" w:cs="IBM Plex Mono" w:eastAsia="IBM Plex Mono"/>
          <w:b/>
          <w:i w:val="0"/>
          <w:color w:val="9A7320"/>
          <w:sz w:val="17"/>
        </w:rPr>
        <w:t xml:space="preserve">6.  </w:t>
      </w:r>
      <w:r>
        <w:rPr>
          <w:rFonts w:ascii="Hanken Grotesk" w:hAnsi="Hanken Grotesk" w:cs="Hanken Grotesk" w:eastAsia="Hanken Grotesk"/>
          <w:b w:val="0"/>
          <w:i w:val="0"/>
          <w:color w:val="55606B"/>
          <w:sz w:val="17"/>
        </w:rPr>
        <w:t>Coinbase and EY-Parthenon, "2026 Institutional Investor Digital Assets Survey," January 2026. https://assets.ctfassets.net/k3n74unfin40/1VXexCsHWsStj4GyXXHy1V/8104e825cab674204f34e6a2d4177657/2026_Institutional_Investor_Survey_Coinbase_E_Y.pdf</w:t>
      </w:r>
    </w:p>
    <w:p>
      <w:pPr>
        <w:spacing w:after="60"/>
        <w:ind w:left="400" w:hanging="400"/>
      </w:pPr>
      <w:r>
        <w:rPr>
          <w:rFonts w:ascii="IBM Plex Mono" w:hAnsi="IBM Plex Mono" w:cs="IBM Plex Mono" w:eastAsia="IBM Plex Mono"/>
          <w:b/>
          <w:i w:val="0"/>
          <w:color w:val="9A7320"/>
          <w:sz w:val="17"/>
        </w:rPr>
        <w:t xml:space="preserve">7.  </w:t>
      </w:r>
      <w:r>
        <w:rPr>
          <w:rFonts w:ascii="Hanken Grotesk" w:hAnsi="Hanken Grotesk" w:cs="Hanken Grotesk" w:eastAsia="Hanken Grotesk"/>
          <w:b w:val="0"/>
          <w:i w:val="0"/>
          <w:color w:val="55606B"/>
          <w:sz w:val="17"/>
        </w:rPr>
        <w:t>MarketVector Indexes, Digital Assets 100 Large-Cap (MVDALC) and Small-Cap (MVDASC) index pages, live June 3, 2026. https://www.marketvector.com/indexes/digital-assets/marketvector-digital-assets-100-large-cap</w:t>
      </w:r>
    </w:p>
    <w:p>
      <w:pPr>
        <w:spacing w:after="60"/>
        <w:ind w:left="400" w:hanging="400"/>
      </w:pPr>
      <w:r>
        <w:rPr>
          <w:rFonts w:ascii="IBM Plex Mono" w:hAnsi="IBM Plex Mono" w:cs="IBM Plex Mono" w:eastAsia="IBM Plex Mono"/>
          <w:b/>
          <w:i w:val="0"/>
          <w:color w:val="9A7320"/>
          <w:sz w:val="17"/>
        </w:rPr>
        <w:t xml:space="preserve">8.  </w:t>
      </w:r>
      <w:r>
        <w:rPr>
          <w:rFonts w:ascii="Hanken Grotesk" w:hAnsi="Hanken Grotesk" w:cs="Hanken Grotesk" w:eastAsia="Hanken Grotesk"/>
          <w:b w:val="0"/>
          <w:i w:val="0"/>
          <w:color w:val="55606B"/>
          <w:sz w:val="17"/>
        </w:rPr>
        <w:t>CoinGecko 2026 Q1 Crypto Industry Report (BTC dominance 55.8%, ETH 9.31% at Q1 2026 end). https://www.coingecko.com/research/publications/2026-q1-crypto-industry-report</w:t>
      </w:r>
    </w:p>
    <w:p>
      <w:pPr>
        <w:spacing w:after="60"/>
        <w:ind w:left="400" w:hanging="400"/>
      </w:pPr>
      <w:r>
        <w:rPr>
          <w:rFonts w:ascii="IBM Plex Mono" w:hAnsi="IBM Plex Mono" w:cs="IBM Plex Mono" w:eastAsia="IBM Plex Mono"/>
          <w:b/>
          <w:i w:val="0"/>
          <w:color w:val="9A7320"/>
          <w:sz w:val="17"/>
        </w:rPr>
        <w:t xml:space="preserve">9.  </w:t>
      </w:r>
      <w:r>
        <w:rPr>
          <w:rFonts w:ascii="Hanken Grotesk" w:hAnsi="Hanken Grotesk" w:cs="Hanken Grotesk" w:eastAsia="Hanken Grotesk"/>
          <w:b w:val="0"/>
          <w:i w:val="0"/>
          <w:color w:val="55606B"/>
          <w:sz w:val="17"/>
        </w:rPr>
        <w:t>Di Wu, "Institutional Adoption and Correlation Dynamics: Bitcoin's Evolving Role in Financial Markets," University of Texas at Dallas, arXiv:2501.09911. https://arxiv.org/abs/2501.09911</w:t>
      </w:r>
    </w:p>
    <w:p>
      <w:pPr>
        <w:spacing w:after="60"/>
        <w:ind w:left="400" w:hanging="400"/>
      </w:pPr>
      <w:r>
        <w:rPr>
          <w:rFonts w:ascii="IBM Plex Mono" w:hAnsi="IBM Plex Mono" w:cs="IBM Plex Mono" w:eastAsia="IBM Plex Mono"/>
          <w:b/>
          <w:i w:val="0"/>
          <w:color w:val="9A7320"/>
          <w:sz w:val="17"/>
        </w:rPr>
        <w:t xml:space="preserve">10.  </w:t>
      </w:r>
      <w:r>
        <w:rPr>
          <w:rFonts w:ascii="Hanken Grotesk" w:hAnsi="Hanken Grotesk" w:cs="Hanken Grotesk" w:eastAsia="Hanken Grotesk"/>
          <w:b w:val="0"/>
          <w:i w:val="0"/>
          <w:color w:val="55606B"/>
          <w:sz w:val="17"/>
        </w:rPr>
        <w:t>Coin Metrics, "Is Bitcoin Decoupling from the Market?" State of the Network, Issue 310, May 6, 2025. https://coinmetrics.substack.com/p/state-of-the-network-issue-310</w:t>
      </w:r>
    </w:p>
    <w:p>
      <w:pPr>
        <w:spacing w:after="60"/>
        <w:ind w:left="400" w:hanging="400"/>
      </w:pPr>
      <w:r>
        <w:rPr>
          <w:rFonts w:ascii="IBM Plex Mono" w:hAnsi="IBM Plex Mono" w:cs="IBM Plex Mono" w:eastAsia="IBM Plex Mono"/>
          <w:b/>
          <w:i w:val="0"/>
          <w:color w:val="9A7320"/>
          <w:sz w:val="17"/>
        </w:rPr>
        <w:t xml:space="preserve">11.  </w:t>
      </w:r>
      <w:r>
        <w:rPr>
          <w:rFonts w:ascii="Hanken Grotesk" w:hAnsi="Hanken Grotesk" w:cs="Hanken Grotesk" w:eastAsia="Hanken Grotesk"/>
          <w:b w:val="0"/>
          <w:i w:val="0"/>
          <w:color w:val="55606B"/>
          <w:sz w:val="17"/>
        </w:rPr>
        <w:t>CoinDesk, "Bitcoin's Negative Correlation With Nasdaq Persists," December 4, 2025. https://www.coindesk.com/markets/2025/12/04/bitcoin-s-negative-correlation-with-nasdaq-persists-and-history-suggests-a-bottom-may-be-forming</w:t>
      </w:r>
    </w:p>
    <w:p>
      <w:pPr>
        <w:spacing w:after="60"/>
        <w:ind w:left="400" w:hanging="400"/>
      </w:pPr>
      <w:r>
        <w:rPr>
          <w:rFonts w:ascii="IBM Plex Mono" w:hAnsi="IBM Plex Mono" w:cs="IBM Plex Mono" w:eastAsia="IBM Plex Mono"/>
          <w:b/>
          <w:i w:val="0"/>
          <w:color w:val="9A7320"/>
          <w:sz w:val="17"/>
        </w:rPr>
        <w:t xml:space="preserve">12.  </w:t>
      </w:r>
      <w:r>
        <w:rPr>
          <w:rFonts w:ascii="Hanken Grotesk" w:hAnsi="Hanken Grotesk" w:cs="Hanken Grotesk" w:eastAsia="Hanken Grotesk"/>
          <w:b w:val="0"/>
          <w:i w:val="0"/>
          <w:color w:val="55606B"/>
          <w:sz w:val="17"/>
        </w:rPr>
        <w:t>Banking Dive, on OCC national trust charter approvals (Anchorage first operational, 2021). https://www.bankingdive.com/news/occ-national-trust-bank-charter-approve-circle-paxos-ripple-bitgo-gould-crypto/807799/</w:t>
      </w:r>
    </w:p>
    <w:p>
      <w:pPr>
        <w:spacing w:after="60"/>
        <w:ind w:left="400" w:hanging="400"/>
      </w:pPr>
      <w:r>
        <w:rPr>
          <w:rFonts w:ascii="IBM Plex Mono" w:hAnsi="IBM Plex Mono" w:cs="IBM Plex Mono" w:eastAsia="IBM Plex Mono"/>
          <w:b/>
          <w:i w:val="0"/>
          <w:color w:val="9A7320"/>
          <w:sz w:val="17"/>
        </w:rPr>
        <w:t xml:space="preserve">13.  </w:t>
      </w:r>
      <w:r>
        <w:rPr>
          <w:rFonts w:ascii="Hanken Grotesk" w:hAnsi="Hanken Grotesk" w:cs="Hanken Grotesk" w:eastAsia="Hanken Grotesk"/>
          <w:b w:val="0"/>
          <w:i w:val="0"/>
          <w:color w:val="55606B"/>
          <w:sz w:val="17"/>
        </w:rPr>
        <w:t>Congress.gov / GPO, GENIUS Act enrolled law, Public Law 119-27, signed July 18, 2025. https://www.congress.gov/119/plaws/publ27/PLAW-119publ27.pdf</w:t>
      </w:r>
    </w:p>
    <w:p>
      <w:pPr>
        <w:spacing w:after="60"/>
        <w:ind w:left="400" w:hanging="400"/>
      </w:pPr>
      <w:r>
        <w:rPr>
          <w:rFonts w:ascii="IBM Plex Mono" w:hAnsi="IBM Plex Mono" w:cs="IBM Plex Mono" w:eastAsia="IBM Plex Mono"/>
          <w:b/>
          <w:i w:val="0"/>
          <w:color w:val="9A7320"/>
          <w:sz w:val="17"/>
        </w:rPr>
        <w:t xml:space="preserve">14.  </w:t>
      </w:r>
      <w:r>
        <w:rPr>
          <w:rFonts w:ascii="Hanken Grotesk" w:hAnsi="Hanken Grotesk" w:cs="Hanken Grotesk" w:eastAsia="Hanken Grotesk"/>
          <w:b w:val="0"/>
          <w:i w:val="0"/>
          <w:color w:val="55606B"/>
          <w:sz w:val="17"/>
        </w:rPr>
        <w:t>U.S. Bancorp Investor Relations, "U.S. Bank selected to provide custody services for reserves backing payment stablecoins from Anchorage Digital Bank," October 8, 2025. https://ir.usbank.com/news-events/news/news-details/2025/U-S--Bank-selected-to-provide-custody-services-for-reserves-backing-payment-stablecoins-from-Anchorage-Digital-Bank/default.aspx</w:t>
      </w:r>
    </w:p>
    <w:p>
      <w:pPr>
        <w:spacing w:after="60"/>
        <w:ind w:left="400" w:hanging="400"/>
      </w:pPr>
      <w:r>
        <w:rPr>
          <w:rFonts w:ascii="IBM Plex Mono" w:hAnsi="IBM Plex Mono" w:cs="IBM Plex Mono" w:eastAsia="IBM Plex Mono"/>
          <w:b/>
          <w:i w:val="0"/>
          <w:color w:val="9A7320"/>
          <w:sz w:val="17"/>
        </w:rPr>
        <w:t xml:space="preserve">15.  </w:t>
      </w:r>
      <w:r>
        <w:rPr>
          <w:rFonts w:ascii="Hanken Grotesk" w:hAnsi="Hanken Grotesk" w:cs="Hanken Grotesk" w:eastAsia="Hanken Grotesk"/>
          <w:b w:val="0"/>
          <w:i w:val="0"/>
          <w:color w:val="55606B"/>
          <w:sz w:val="17"/>
        </w:rPr>
        <w:t>Sumsub, "Know Your Agent" (KYA scoped to identity, authorization, and auditability, not underwriting/credit/custody), January 28, 2026. https://sumsub.com/blog/know-your-agent/</w:t>
      </w:r>
    </w:p>
    <w:p>
      <w:pPr>
        <w:spacing w:after="60"/>
        <w:ind w:left="400" w:hanging="400"/>
      </w:pPr>
      <w:r>
        <w:rPr>
          <w:rFonts w:ascii="IBM Plex Mono" w:hAnsi="IBM Plex Mono" w:cs="IBM Plex Mono" w:eastAsia="IBM Plex Mono"/>
          <w:b/>
          <w:i w:val="0"/>
          <w:color w:val="9A7320"/>
          <w:sz w:val="17"/>
        </w:rPr>
        <w:t xml:space="preserve">16.  </w:t>
      </w:r>
      <w:r>
        <w:rPr>
          <w:rFonts w:ascii="Hanken Grotesk" w:hAnsi="Hanken Grotesk" w:cs="Hanken Grotesk" w:eastAsia="Hanken Grotesk"/>
          <w:b w:val="0"/>
          <w:i w:val="0"/>
          <w:color w:val="55606B"/>
          <w:sz w:val="17"/>
        </w:rPr>
        <w:t>Ethereum Magicians, "ERC-8004: Trustless Agents" (authors state the protocol does not cover payments), mainnet January 29, 2026. https://ethereum-magicians.org/t/erc-8004-trustless-agents/25098</w:t>
      </w:r>
    </w:p>
    <w:p>
      <w:pPr>
        <w:spacing w:after="60"/>
        <w:ind w:left="400" w:hanging="400"/>
      </w:pPr>
      <w:r>
        <w:rPr>
          <w:rFonts w:ascii="IBM Plex Mono" w:hAnsi="IBM Plex Mono" w:cs="IBM Plex Mono" w:eastAsia="IBM Plex Mono"/>
          <w:b/>
          <w:i w:val="0"/>
          <w:color w:val="9A7320"/>
          <w:sz w:val="17"/>
        </w:rPr>
        <w:t xml:space="preserve">17.  </w:t>
      </w:r>
      <w:r>
        <w:rPr>
          <w:rFonts w:ascii="Hanken Grotesk" w:hAnsi="Hanken Grotesk" w:cs="Hanken Grotesk" w:eastAsia="Hanken Grotesk"/>
          <w:b w:val="0"/>
          <w:i w:val="0"/>
          <w:color w:val="55606B"/>
          <w:sz w:val="17"/>
        </w:rPr>
        <w:t>Fintel, IBIT institutional ownership (1,683 institutional filers). https://fintel.io/so/us/ibit</w:t>
      </w:r>
    </w:p>
    <w:p>
      <w:pPr>
        <w:spacing w:after="60"/>
        <w:ind w:left="400" w:hanging="400"/>
      </w:pPr>
      <w:r>
        <w:rPr>
          <w:rFonts w:ascii="IBM Plex Mono" w:hAnsi="IBM Plex Mono" w:cs="IBM Plex Mono" w:eastAsia="IBM Plex Mono"/>
          <w:b/>
          <w:i w:val="0"/>
          <w:color w:val="9A7320"/>
          <w:sz w:val="17"/>
        </w:rPr>
        <w:t xml:space="preserve">18.  </w:t>
      </w:r>
      <w:r>
        <w:rPr>
          <w:rFonts w:ascii="Hanken Grotesk" w:hAnsi="Hanken Grotesk" w:cs="Hanken Grotesk" w:eastAsia="Hanken Grotesk"/>
          <w:b w:val="0"/>
          <w:i w:val="0"/>
          <w:color w:val="55606B"/>
          <w:sz w:val="17"/>
        </w:rPr>
        <w:t>WealthManagement.com, "Morgan Stanley OKs Advisors to Pitch Spot Bitcoin ETFs," and Morgan Stanley Bitcoin Trust S-1/A, SEC EDGAR CIK 0002103612. https://www.wealthmanagement.com/investment-news/report-morgan-stanley-oks-advisors-to-pitch-spot-bitcoin-etfs</w:t>
      </w:r>
    </w:p>
    <w:p>
      <w:pPr>
        <w:spacing w:after="60"/>
        <w:ind w:left="400" w:hanging="400"/>
      </w:pPr>
      <w:r>
        <w:rPr>
          <w:rFonts w:ascii="IBM Plex Mono" w:hAnsi="IBM Plex Mono" w:cs="IBM Plex Mono" w:eastAsia="IBM Plex Mono"/>
          <w:b/>
          <w:i w:val="0"/>
          <w:color w:val="9A7320"/>
          <w:sz w:val="17"/>
        </w:rPr>
        <w:t xml:space="preserve">19.  </w:t>
      </w:r>
      <w:r>
        <w:rPr>
          <w:rFonts w:ascii="Hanken Grotesk" w:hAnsi="Hanken Grotesk" w:cs="Hanken Grotesk" w:eastAsia="Hanken Grotesk"/>
          <w:b w:val="0"/>
          <w:i w:val="0"/>
          <w:color w:val="55606B"/>
          <w:sz w:val="17"/>
        </w:rPr>
        <w:t>SEC EDGAR, Mubadala Investment Co. Form 13F-HR (IBIT position, Q1 2026), filed May 15, 2026. https://www.sec.gov/Archives/edgar/data/1704268/000114036126021535/informationtable.xml</w:t>
      </w:r>
    </w:p>
    <w:p>
      <w:pPr>
        <w:spacing w:after="60"/>
        <w:ind w:left="400" w:hanging="400"/>
      </w:pPr>
      <w:r>
        <w:rPr>
          <w:rFonts w:ascii="IBM Plex Mono" w:hAnsi="IBM Plex Mono" w:cs="IBM Plex Mono" w:eastAsia="IBM Plex Mono"/>
          <w:b/>
          <w:i w:val="0"/>
          <w:color w:val="9A7320"/>
          <w:sz w:val="17"/>
        </w:rPr>
        <w:t xml:space="preserve">20.  </w:t>
      </w:r>
      <w:r>
        <w:rPr>
          <w:rFonts w:ascii="Hanken Grotesk" w:hAnsi="Hanken Grotesk" w:cs="Hanken Grotesk" w:eastAsia="Hanken Grotesk"/>
          <w:b w:val="0"/>
          <w:i w:val="0"/>
          <w:color w:val="55606B"/>
          <w:sz w:val="17"/>
        </w:rPr>
        <w:t>CoinDesk and CryptoSlate, Q1 2026 13F analysis (Wisconsin SWIB exit; Harvard endowment trim, IBIT remains largest disclosed listed holding). https://www.coindesk.com/markets/2025/11/15/harvard-endowment-takes-rare-leap-into-bitcoin-with-usd443m-bet-on-blackrock-s-ibit</w:t>
      </w:r>
    </w:p>
    <w:p>
      <w:pPr>
        <w:spacing w:after="60"/>
        <w:ind w:left="400" w:hanging="400"/>
      </w:pPr>
      <w:r>
        <w:rPr>
          <w:rFonts w:ascii="IBM Plex Mono" w:hAnsi="IBM Plex Mono" w:cs="IBM Plex Mono" w:eastAsia="IBM Plex Mono"/>
          <w:b/>
          <w:i w:val="0"/>
          <w:color w:val="9A7320"/>
          <w:sz w:val="17"/>
        </w:rPr>
        <w:t xml:space="preserve">21.  </w:t>
      </w:r>
      <w:r>
        <w:rPr>
          <w:rFonts w:ascii="Hanken Grotesk" w:hAnsi="Hanken Grotesk" w:cs="Hanken Grotesk" w:eastAsia="Hanken Grotesk"/>
          <w:b w:val="0"/>
          <w:i w:val="0"/>
          <w:color w:val="55606B"/>
          <w:sz w:val="17"/>
        </w:rPr>
        <w:t>KPMG Financial Reporting View, "SEC Rescinds SAB 121" (SAB 122, January 23, 2025). https://kpmg.com/us/en/frv/reference-library/2025/sec-rescinds-sab-121.html</w:t>
      </w:r>
    </w:p>
    <w:p>
      <w:pPr>
        <w:spacing w:after="60"/>
        <w:ind w:left="400" w:hanging="400"/>
      </w:pPr>
      <w:r>
        <w:rPr>
          <w:rFonts w:ascii="IBM Plex Mono" w:hAnsi="IBM Plex Mono" w:cs="IBM Plex Mono" w:eastAsia="IBM Plex Mono"/>
          <w:b/>
          <w:i w:val="0"/>
          <w:color w:val="9A7320"/>
          <w:sz w:val="17"/>
        </w:rPr>
        <w:t xml:space="preserve">22.  </w:t>
      </w:r>
      <w:r>
        <w:rPr>
          <w:rFonts w:ascii="Hanken Grotesk" w:hAnsi="Hanken Grotesk" w:cs="Hanken Grotesk" w:eastAsia="Hanken Grotesk"/>
          <w:b w:val="0"/>
          <w:i w:val="0"/>
          <w:color w:val="55606B"/>
          <w:sz w:val="17"/>
        </w:rPr>
        <w:t>The White House, Executive Order 14178, "Strengthening American Leadership in Digital Financial Technology," January 23, 2025. https://www.whitehouse.gov/presidential-actions/2025/01/strengthening-american-leadership-in-digital-financial-technology/</w:t>
      </w:r>
    </w:p>
    <w:p>
      <w:pPr>
        <w:spacing w:after="60"/>
        <w:ind w:left="400" w:hanging="400"/>
      </w:pPr>
      <w:r>
        <w:rPr>
          <w:rFonts w:ascii="IBM Plex Mono" w:hAnsi="IBM Plex Mono" w:cs="IBM Plex Mono" w:eastAsia="IBM Plex Mono"/>
          <w:b/>
          <w:i w:val="0"/>
          <w:color w:val="9A7320"/>
          <w:sz w:val="17"/>
        </w:rPr>
        <w:t xml:space="preserve">23.  </w:t>
      </w:r>
      <w:r>
        <w:rPr>
          <w:rFonts w:ascii="Hanken Grotesk" w:hAnsi="Hanken Grotesk" w:cs="Hanken Grotesk" w:eastAsia="Hanken Grotesk"/>
          <w:b w:val="0"/>
          <w:i w:val="0"/>
          <w:color w:val="55606B"/>
          <w:sz w:val="17"/>
        </w:rPr>
        <w:t>OCC News Release 2025-16, Interpretive Letter 1183, March 7, 2025. https://www.occ.treas.gov/news-issuances/news-releases/2025/nr-occ-2025-16.html</w:t>
      </w:r>
    </w:p>
    <w:p>
      <w:pPr>
        <w:spacing w:after="60"/>
        <w:ind w:left="400" w:hanging="400"/>
      </w:pPr>
      <w:r>
        <w:rPr>
          <w:rFonts w:ascii="IBM Plex Mono" w:hAnsi="IBM Plex Mono" w:cs="IBM Plex Mono" w:eastAsia="IBM Plex Mono"/>
          <w:b/>
          <w:i w:val="0"/>
          <w:color w:val="9A7320"/>
          <w:sz w:val="17"/>
        </w:rPr>
        <w:t xml:space="preserve">24.  </w:t>
      </w:r>
      <w:r>
        <w:rPr>
          <w:rFonts w:ascii="Hanken Grotesk" w:hAnsi="Hanken Grotesk" w:cs="Hanken Grotesk" w:eastAsia="Hanken Grotesk"/>
          <w:b w:val="0"/>
          <w:i w:val="0"/>
          <w:color w:val="55606B"/>
          <w:sz w:val="17"/>
        </w:rPr>
        <w:t>CoinDesk, "Coinbase Case Dropped by U.S. SEC," February 27, 2025. https://www.coindesk.com/policy/2025/02/27/coinbase-case-dropped-by-u-s-sec-as-agency-reverses-crypto-stance</w:t>
      </w:r>
    </w:p>
    <w:p>
      <w:pPr>
        <w:spacing w:after="60"/>
        <w:ind w:left="400" w:hanging="400"/>
      </w:pPr>
      <w:r>
        <w:rPr>
          <w:rFonts w:ascii="IBM Plex Mono" w:hAnsi="IBM Plex Mono" w:cs="IBM Plex Mono" w:eastAsia="IBM Plex Mono"/>
          <w:b/>
          <w:i w:val="0"/>
          <w:color w:val="9A7320"/>
          <w:sz w:val="17"/>
        </w:rPr>
        <w:t xml:space="preserve">25.  </w:t>
      </w:r>
      <w:r>
        <w:rPr>
          <w:rFonts w:ascii="Hanken Grotesk" w:hAnsi="Hanken Grotesk" w:cs="Hanken Grotesk" w:eastAsia="Hanken Grotesk"/>
          <w:b w:val="0"/>
          <w:i w:val="0"/>
          <w:color w:val="55606B"/>
          <w:sz w:val="17"/>
        </w:rPr>
        <w:t>Dechert OnPoint, "Generic Listing Standards for Crypto and Commodity ETPs," on the SEC order of September 17, 2025. https://www.dechert.com/knowledge/onpoint/2025/10/generic-listing-standards-for-crypto-and-commodity-etps--what-it.html</w:t>
      </w:r>
    </w:p>
    <w:p>
      <w:pPr>
        <w:spacing w:after="60"/>
        <w:ind w:left="400" w:hanging="400"/>
      </w:pPr>
      <w:r>
        <w:rPr>
          <w:rFonts w:ascii="IBM Plex Mono" w:hAnsi="IBM Plex Mono" w:cs="IBM Plex Mono" w:eastAsia="IBM Plex Mono"/>
          <w:b/>
          <w:i w:val="0"/>
          <w:color w:val="9A7320"/>
          <w:sz w:val="17"/>
        </w:rPr>
        <w:t xml:space="preserve">26.  </w:t>
      </w:r>
      <w:r>
        <w:rPr>
          <w:rFonts w:ascii="Hanken Grotesk" w:hAnsi="Hanken Grotesk" w:cs="Hanken Grotesk" w:eastAsia="Hanken Grotesk"/>
          <w:b w:val="0"/>
          <w:i w:val="0"/>
          <w:color w:val="55606B"/>
          <w:sz w:val="17"/>
        </w:rPr>
        <w:t>AInvest, citing MarketVector Digital Assets 100 Small-Cap Index (~0.9 correlation to large-cap while underperforming), late 2025. https://www.ainvest.com/news/small-cap-crypto-tokens-high-risk-reward-bet-2025-2512/</w:t>
      </w:r>
    </w:p>
    <w:p>
      <w:pPr>
        <w:spacing w:after="60"/>
        <w:ind w:left="400" w:hanging="400"/>
      </w:pPr>
      <w:r>
        <w:rPr>
          <w:rFonts w:ascii="IBM Plex Mono" w:hAnsi="IBM Plex Mono" w:cs="IBM Plex Mono" w:eastAsia="IBM Plex Mono"/>
          <w:b/>
          <w:i w:val="0"/>
          <w:color w:val="9A7320"/>
          <w:sz w:val="17"/>
        </w:rPr>
        <w:t xml:space="preserve">27.  </w:t>
      </w:r>
      <w:r>
        <w:rPr>
          <w:rFonts w:ascii="Hanken Grotesk" w:hAnsi="Hanken Grotesk" w:cs="Hanken Grotesk" w:eastAsia="Hanken Grotesk"/>
          <w:b w:val="0"/>
          <w:i w:val="0"/>
          <w:color w:val="55606B"/>
          <w:sz w:val="17"/>
        </w:rPr>
        <w:t>CoinGecko Research, "Top 10 Cryptos 2014 to 2026" (BTC 64.9% of top-10; top-10 ~82% of total), June 1, 2026. https://www.coingecko.com/research/publications/top-10-cryptos-2014-to-2026</w:t>
      </w:r>
    </w:p>
    <w:p>
      <w:pPr>
        <w:spacing w:after="60"/>
        <w:ind w:left="400" w:hanging="400"/>
      </w:pPr>
      <w:r>
        <w:rPr>
          <w:rFonts w:ascii="IBM Plex Mono" w:hAnsi="IBM Plex Mono" w:cs="IBM Plex Mono" w:eastAsia="IBM Plex Mono"/>
          <w:b/>
          <w:i w:val="0"/>
          <w:color w:val="9A7320"/>
          <w:sz w:val="17"/>
        </w:rPr>
        <w:t xml:space="preserve">28.  </w:t>
      </w:r>
      <w:r>
        <w:rPr>
          <w:rFonts w:ascii="Hanken Grotesk" w:hAnsi="Hanken Grotesk" w:cs="Hanken Grotesk" w:eastAsia="Hanken Grotesk"/>
          <w:b w:val="0"/>
          <w:i w:val="0"/>
          <w:color w:val="55606B"/>
          <w:sz w:val="17"/>
        </w:rPr>
        <w:t>Liu, Tsyvinski, and Wu, "Common Risk Factors in Cryptocurrency," Journal of Finance, Vol. 77, Issue 2 (2022); NBER Working Paper 25882. https://www.nber.org/system/files/working_papers/w25882/w25882.pdf</w:t>
      </w:r>
    </w:p>
    <w:p>
      <w:pPr>
        <w:spacing w:after="60"/>
        <w:ind w:left="400" w:hanging="400"/>
      </w:pPr>
      <w:r>
        <w:rPr>
          <w:rFonts w:ascii="IBM Plex Mono" w:hAnsi="IBM Plex Mono" w:cs="IBM Plex Mono" w:eastAsia="IBM Plex Mono"/>
          <w:b/>
          <w:i w:val="0"/>
          <w:color w:val="9A7320"/>
          <w:sz w:val="17"/>
        </w:rPr>
        <w:t xml:space="preserve">29.  </w:t>
      </w:r>
      <w:r>
        <w:rPr>
          <w:rFonts w:ascii="Hanken Grotesk" w:hAnsi="Hanken Grotesk" w:cs="Hanken Grotesk" w:eastAsia="Hanken Grotesk"/>
          <w:b w:val="0"/>
          <w:i w:val="0"/>
          <w:color w:val="55606B"/>
          <w:sz w:val="17"/>
        </w:rPr>
        <w:t>Kaiko Research, via CoinMarketCap (BTC 90-day correlation to Nasdaq fell to 0.27, recovered to 0.42), 2025. https://coinmarketcap.com/headlines/news/bitcoin-sees-sharp-decline-in-correlation-with-tech-equities-kaiko-says/</w:t>
      </w:r>
    </w:p>
    <w:p>
      <w:pPr>
        <w:spacing w:after="60"/>
        <w:ind w:left="400" w:hanging="400"/>
      </w:pPr>
      <w:r>
        <w:rPr>
          <w:rFonts w:ascii="IBM Plex Mono" w:hAnsi="IBM Plex Mono" w:cs="IBM Plex Mono" w:eastAsia="IBM Plex Mono"/>
          <w:b/>
          <w:i w:val="0"/>
          <w:color w:val="9A7320"/>
          <w:sz w:val="17"/>
        </w:rPr>
        <w:t xml:space="preserve">30.  </w:t>
      </w:r>
      <w:r>
        <w:rPr>
          <w:rFonts w:ascii="Hanken Grotesk" w:hAnsi="Hanken Grotesk" w:cs="Hanken Grotesk" w:eastAsia="Hanken Grotesk"/>
          <w:b w:val="0"/>
          <w:i w:val="0"/>
          <w:color w:val="55606B"/>
          <w:sz w:val="17"/>
        </w:rPr>
        <w:t>K33 Research, via FXStreet (BTC beta declined during equity rallies), May 12, 2026. https://www.fxstreet.com/cryptocurrencies/news/bitcoin-fails-to-match-us-equities-surge-despite-strong-nasdaq-correlation-k33-202605122306</w:t>
      </w:r>
    </w:p>
    <w:p>
      <w:pPr>
        <w:spacing w:after="60"/>
        <w:ind w:left="400" w:hanging="400"/>
      </w:pPr>
      <w:r>
        <w:rPr>
          <w:rFonts w:ascii="IBM Plex Mono" w:hAnsi="IBM Plex Mono" w:cs="IBM Plex Mono" w:eastAsia="IBM Plex Mono"/>
          <w:b/>
          <w:i w:val="0"/>
          <w:color w:val="9A7320"/>
          <w:sz w:val="17"/>
        </w:rPr>
        <w:t xml:space="preserve">31.  </w:t>
      </w:r>
      <w:r>
        <w:rPr>
          <w:rFonts w:ascii="Hanken Grotesk" w:hAnsi="Hanken Grotesk" w:cs="Hanken Grotesk" w:eastAsia="Hanken Grotesk"/>
          <w:b w:val="0"/>
          <w:i w:val="0"/>
          <w:color w:val="55606B"/>
          <w:sz w:val="17"/>
        </w:rPr>
        <w:t>Zhang, Li, Xiong, and Wang, "Downside Risk and the Cross-Section of Cryptocurrency Returns," Journal of Banking and Finance, Vol. 133 (2021). https://ideas.repec.org/a/eee/jbfina/v133y2021ics0378426621002053.html</w:t>
      </w:r>
    </w:p>
    <w:p>
      <w:pPr>
        <w:spacing w:after="60"/>
        <w:ind w:left="400" w:hanging="400"/>
      </w:pPr>
      <w:r>
        <w:rPr>
          <w:rFonts w:ascii="IBM Plex Mono" w:hAnsi="IBM Plex Mono" w:cs="IBM Plex Mono" w:eastAsia="IBM Plex Mono"/>
          <w:b/>
          <w:i w:val="0"/>
          <w:color w:val="9A7320"/>
          <w:sz w:val="17"/>
        </w:rPr>
        <w:t xml:space="preserve">32.  </w:t>
      </w:r>
      <w:r>
        <w:rPr>
          <w:rFonts w:ascii="Hanken Grotesk" w:hAnsi="Hanken Grotesk" w:cs="Hanken Grotesk" w:eastAsia="Hanken Grotesk"/>
          <w:b w:val="0"/>
          <w:i w:val="0"/>
          <w:color w:val="55606B"/>
          <w:sz w:val="17"/>
        </w:rPr>
        <w:t>Fieberg, Liedtke, Poddig, Walker, and Zaremba, "A Trend Factor for the Cross-Section of Cryptocurrency Returns," Journal of Financial and Quantitative Analysis, Vol. 60, Issue 7 (2025). https://www.cambridge.org/core/journals/journal-of-financial-and-quantitative-analysis/article/trend-factor-for-the-cross-section-of-cryptocurrency-returns/4C1509ACBA33D5DCAF0AC24379148178</w:t>
      </w:r>
    </w:p>
    <w:p>
      <w:pPr>
        <w:spacing w:after="60"/>
        <w:ind w:left="400" w:hanging="400"/>
      </w:pPr>
      <w:r>
        <w:rPr>
          <w:rFonts w:ascii="IBM Plex Mono" w:hAnsi="IBM Plex Mono" w:cs="IBM Plex Mono" w:eastAsia="IBM Plex Mono"/>
          <w:b/>
          <w:i w:val="0"/>
          <w:color w:val="9A7320"/>
          <w:sz w:val="17"/>
        </w:rPr>
        <w:t xml:space="preserve">33.  </w:t>
      </w:r>
      <w:r>
        <w:rPr>
          <w:rFonts w:ascii="Hanken Grotesk" w:hAnsi="Hanken Grotesk" w:cs="Hanken Grotesk" w:eastAsia="Hanken Grotesk"/>
          <w:b w:val="0"/>
          <w:i w:val="0"/>
          <w:color w:val="55606B"/>
          <w:sz w:val="17"/>
        </w:rPr>
        <w:t>Bhambhwani, Delikouras, and Korniotis, "Blockchain Characteristics and Cryptocurrency Returns," Journal of International Financial Markets, Institutions and Money (2023). https://www.sciencedirect.com/science/article/abs/pii/S1042443123000562</w:t>
      </w:r>
    </w:p>
    <w:p>
      <w:pPr>
        <w:spacing w:after="60"/>
        <w:ind w:left="400" w:hanging="400"/>
      </w:pPr>
      <w:r>
        <w:rPr>
          <w:rFonts w:ascii="IBM Plex Mono" w:hAnsi="IBM Plex Mono" w:cs="IBM Plex Mono" w:eastAsia="IBM Plex Mono"/>
          <w:b/>
          <w:i w:val="0"/>
          <w:color w:val="9A7320"/>
          <w:sz w:val="17"/>
        </w:rPr>
        <w:t xml:space="preserve">34.  </w:t>
      </w:r>
      <w:r>
        <w:rPr>
          <w:rFonts w:ascii="Hanken Grotesk" w:hAnsi="Hanken Grotesk" w:cs="Hanken Grotesk" w:eastAsia="Hanken Grotesk"/>
          <w:b w:val="0"/>
          <w:i w:val="0"/>
          <w:color w:val="55606B"/>
          <w:sz w:val="17"/>
        </w:rPr>
        <w:t>OCC News Release NR-OCC-2025-125 (five national trust charter conditional approvals: Circle, Ripple, BitGo, Fidelity, Paxos), December 12, 2025. https://www.occ.gov/news-issuances/news-releases/2025/nr-occ-2025-125.html</w:t>
      </w:r>
    </w:p>
    <w:p>
      <w:pPr>
        <w:spacing w:after="60"/>
        <w:ind w:left="400" w:hanging="400"/>
      </w:pPr>
      <w:r>
        <w:rPr>
          <w:rFonts w:ascii="IBM Plex Mono" w:hAnsi="IBM Plex Mono" w:cs="IBM Plex Mono" w:eastAsia="IBM Plex Mono"/>
          <w:b/>
          <w:i w:val="0"/>
          <w:color w:val="9A7320"/>
          <w:sz w:val="17"/>
        </w:rPr>
        <w:t xml:space="preserve">35.  </w:t>
      </w:r>
      <w:r>
        <w:rPr>
          <w:rFonts w:ascii="Hanken Grotesk" w:hAnsi="Hanken Grotesk" w:cs="Hanken Grotesk" w:eastAsia="Hanken Grotesk"/>
          <w:b w:val="0"/>
          <w:i w:val="0"/>
          <w:color w:val="55606B"/>
          <w:sz w:val="17"/>
        </w:rPr>
        <w:t>OCC Bulletin 2026-3, GENIUS Act NPRM, February 25, 2026. https://occ.treas.gov/news-issuances/bulletins/2026/bulletin-2026-3.html</w:t>
      </w:r>
    </w:p>
    <w:p>
      <w:pPr>
        <w:spacing w:after="60"/>
        <w:ind w:left="400" w:hanging="400"/>
      </w:pPr>
      <w:r>
        <w:rPr>
          <w:rFonts w:ascii="IBM Plex Mono" w:hAnsi="IBM Plex Mono" w:cs="IBM Plex Mono" w:eastAsia="IBM Plex Mono"/>
          <w:b/>
          <w:i w:val="0"/>
          <w:color w:val="9A7320"/>
          <w:sz w:val="17"/>
        </w:rPr>
        <w:t xml:space="preserve">36.  </w:t>
      </w:r>
      <w:r>
        <w:rPr>
          <w:rFonts w:ascii="Hanken Grotesk" w:hAnsi="Hanken Grotesk" w:cs="Hanken Grotesk" w:eastAsia="Hanken Grotesk"/>
          <w:b w:val="0"/>
          <w:i w:val="0"/>
          <w:color w:val="55606B"/>
          <w:sz w:val="17"/>
        </w:rPr>
        <w:t>U.S. Senate Committee on Banking, Housing, and Urban Affairs, CLARITY Act committee advancement (15-9), May 14, 2026. https://www.banking.senate.gov/newsroom/majority/chairman-scott-senate-banking-committee-advance-clarity-act-in-historic-bipartisan-vote</w:t>
      </w:r>
    </w:p>
    <w:p>
      <w:pPr>
        <w:spacing w:after="60"/>
        <w:ind w:left="400" w:hanging="400"/>
      </w:pPr>
      <w:r>
        <w:rPr>
          <w:rFonts w:ascii="IBM Plex Mono" w:hAnsi="IBM Plex Mono" w:cs="IBM Plex Mono" w:eastAsia="IBM Plex Mono"/>
          <w:b/>
          <w:i w:val="0"/>
          <w:color w:val="9A7320"/>
          <w:sz w:val="17"/>
        </w:rPr>
        <w:t xml:space="preserve">37.  </w:t>
      </w:r>
      <w:r>
        <w:rPr>
          <w:rFonts w:ascii="Hanken Grotesk" w:hAnsi="Hanken Grotesk" w:cs="Hanken Grotesk" w:eastAsia="Hanken Grotesk"/>
          <w:b w:val="0"/>
          <w:i w:val="0"/>
          <w:color w:val="55606B"/>
          <w:sz w:val="17"/>
        </w:rPr>
        <w:t>Markets Media, "BlackRock Adds Anchorage Digital as Custodian," April 9, 2025. https://www.marketsmedia.com/blackrock-adds-anchorage-digital-as-custodian/</w:t>
      </w:r>
    </w:p>
    <w:p>
      <w:pPr>
        <w:spacing w:after="60"/>
        <w:ind w:left="400" w:hanging="400"/>
      </w:pPr>
      <w:r>
        <w:rPr>
          <w:rFonts w:ascii="IBM Plex Mono" w:hAnsi="IBM Plex Mono" w:cs="IBM Plex Mono" w:eastAsia="IBM Plex Mono"/>
          <w:b/>
          <w:i w:val="0"/>
          <w:color w:val="9A7320"/>
          <w:sz w:val="17"/>
        </w:rPr>
        <w:t xml:space="preserve">38.  </w:t>
      </w:r>
      <w:r>
        <w:rPr>
          <w:rFonts w:ascii="Hanken Grotesk" w:hAnsi="Hanken Grotesk" w:cs="Hanken Grotesk" w:eastAsia="Hanken Grotesk"/>
          <w:b w:val="0"/>
          <w:i w:val="0"/>
          <w:color w:val="55606B"/>
          <w:sz w:val="17"/>
        </w:rPr>
        <w:t>Anchorage Digital, "Anchorage Digital Selected by 3iQ as Infrastructure and Custody Partner," May 20, 2026. https://www.anchorage.com/insights/anchorage-digital-selected-by-3iq-as-infrastructure-and-custody-partner-for-digital-asset-investment-platform</w:t>
      </w:r>
    </w:p>
    <w:p>
      <w:pPr>
        <w:spacing w:after="60"/>
        <w:ind w:left="400" w:hanging="400"/>
      </w:pPr>
      <w:r>
        <w:rPr>
          <w:rFonts w:ascii="IBM Plex Mono" w:hAnsi="IBM Plex Mono" w:cs="IBM Plex Mono" w:eastAsia="IBM Plex Mono"/>
          <w:b/>
          <w:i w:val="0"/>
          <w:color w:val="9A7320"/>
          <w:sz w:val="17"/>
        </w:rPr>
        <w:t xml:space="preserve">39.  </w:t>
      </w:r>
      <w:r>
        <w:rPr>
          <w:rFonts w:ascii="Hanken Grotesk" w:hAnsi="Hanken Grotesk" w:cs="Hanken Grotesk" w:eastAsia="Hanken Grotesk"/>
          <w:b w:val="0"/>
          <w:i w:val="0"/>
          <w:color w:val="55606B"/>
          <w:sz w:val="17"/>
        </w:rPr>
        <w:t>Anchorage Digital, "Expanding Atlas: Anchorage Digital Launches Institutional-Grade Collateral Management Offering" (nearly 600 participants), March 19, 2026. https://www.anchorage.com/insights/expanding-atlas-anchorage-digital-launches-institutional-grade-collateral-management-offering</w:t>
      </w:r>
    </w:p>
    <w:p>
      <w:pPr>
        <w:spacing w:after="60"/>
        <w:ind w:left="400" w:hanging="400"/>
      </w:pPr>
      <w:r>
        <w:rPr>
          <w:rFonts w:ascii="IBM Plex Mono" w:hAnsi="IBM Plex Mono" w:cs="IBM Plex Mono" w:eastAsia="IBM Plex Mono"/>
          <w:b/>
          <w:i w:val="0"/>
          <w:color w:val="9A7320"/>
          <w:sz w:val="17"/>
        </w:rPr>
        <w:t xml:space="preserve">40.  </w:t>
      </w:r>
      <w:r>
        <w:rPr>
          <w:rFonts w:ascii="Hanken Grotesk" w:hAnsi="Hanken Grotesk" w:cs="Hanken Grotesk" w:eastAsia="Hanken Grotesk"/>
          <w:b w:val="0"/>
          <w:i w:val="0"/>
          <w:color w:val="55606B"/>
          <w:sz w:val="17"/>
        </w:rPr>
        <w:t>Circle Internet Group, Q1 2026 Results (USDC $77B in circulation, $21.5T on-chain volume), May 11, 2026. https://www.circle.com/pressroom/circle-reports-first-quarter-2026-results</w:t>
      </w:r>
    </w:p>
    <w:p>
      <w:pPr>
        <w:spacing w:after="60"/>
        <w:ind w:left="400" w:hanging="400"/>
      </w:pPr>
      <w:r>
        <w:rPr>
          <w:rFonts w:ascii="IBM Plex Mono" w:hAnsi="IBM Plex Mono" w:cs="IBM Plex Mono" w:eastAsia="IBM Plex Mono"/>
          <w:b/>
          <w:i w:val="0"/>
          <w:color w:val="9A7320"/>
          <w:sz w:val="17"/>
        </w:rPr>
        <w:t xml:space="preserve">41.  </w:t>
      </w:r>
      <w:r>
        <w:rPr>
          <w:rFonts w:ascii="Hanken Grotesk" w:hAnsi="Hanken Grotesk" w:cs="Hanken Grotesk" w:eastAsia="Hanken Grotesk"/>
          <w:b w:val="0"/>
          <w:i w:val="0"/>
          <w:color w:val="55606B"/>
          <w:sz w:val="17"/>
        </w:rPr>
        <w:t>Chainalysis, "Stablecoin Utility and the Future of Payments" ($28T adjusted volume, 2025), April 8, 2026. https://www.chainalysis.com/blog/stablecoin-utility-future-of-payments/</w:t>
      </w:r>
    </w:p>
    <w:p>
      <w:pPr>
        <w:spacing w:after="60"/>
        <w:ind w:left="400" w:hanging="400"/>
      </w:pPr>
      <w:r>
        <w:rPr>
          <w:rFonts w:ascii="IBM Plex Mono" w:hAnsi="IBM Plex Mono" w:cs="IBM Plex Mono" w:eastAsia="IBM Plex Mono"/>
          <w:b/>
          <w:i w:val="0"/>
          <w:color w:val="9A7320"/>
          <w:sz w:val="17"/>
        </w:rPr>
        <w:t xml:space="preserve">42.  </w:t>
      </w:r>
      <w:r>
        <w:rPr>
          <w:rFonts w:ascii="Hanken Grotesk" w:hAnsi="Hanken Grotesk" w:cs="Hanken Grotesk" w:eastAsia="Hanken Grotesk"/>
          <w:b w:val="0"/>
          <w:i w:val="0"/>
          <w:color w:val="55606B"/>
          <w:sz w:val="17"/>
        </w:rPr>
        <w:t>Anchorage Digital, "Western Union Launches USDPT, a Federally Regulated Digital Dollar" (issued by Anchorage Digital Bank), May 4, 2026. https://www.anchorage.com/insights/western-union-launches-usdpt-a-federally-regulated-digital-dollar</w:t>
      </w:r>
    </w:p>
    <w:p>
      <w:pPr>
        <w:spacing w:after="60"/>
        <w:ind w:left="400" w:hanging="400"/>
      </w:pPr>
      <w:r>
        <w:rPr>
          <w:rFonts w:ascii="IBM Plex Mono" w:hAnsi="IBM Plex Mono" w:cs="IBM Plex Mono" w:eastAsia="IBM Plex Mono"/>
          <w:b/>
          <w:i w:val="0"/>
          <w:color w:val="9A7320"/>
          <w:sz w:val="17"/>
        </w:rPr>
        <w:t xml:space="preserve">43.  </w:t>
      </w:r>
      <w:r>
        <w:rPr>
          <w:rFonts w:ascii="Hanken Grotesk" w:hAnsi="Hanken Grotesk" w:cs="Hanken Grotesk" w:eastAsia="Hanken Grotesk"/>
          <w:b w:val="0"/>
          <w:i w:val="0"/>
          <w:color w:val="55606B"/>
          <w:sz w:val="17"/>
        </w:rPr>
        <w:t>State Street Investment Management, with Galaxy Digital and Ondo, tokenized liquidity fund settling in PYUSD, May 5, 2026. https://investors.statestreet.com/investor-news-events/press-releases/news-details/2025/State-Street-Investment-Management-and-Galaxy-Digital-Partner-to-Tokenize-Private-Liquidity-Fund-With-Planned-Seed-Investment-from-Ondo/default.aspx</w:t>
      </w:r>
    </w:p>
    <w:p>
      <w:pPr>
        <w:spacing w:after="60"/>
        <w:ind w:left="400" w:hanging="400"/>
      </w:pPr>
      <w:r>
        <w:rPr>
          <w:rFonts w:ascii="IBM Plex Mono" w:hAnsi="IBM Plex Mono" w:cs="IBM Plex Mono" w:eastAsia="IBM Plex Mono"/>
          <w:b/>
          <w:i w:val="0"/>
          <w:color w:val="9A7320"/>
          <w:sz w:val="17"/>
        </w:rPr>
        <w:t xml:space="preserve">44.  </w:t>
      </w:r>
      <w:r>
        <w:rPr>
          <w:rFonts w:ascii="Hanken Grotesk" w:hAnsi="Hanken Grotesk" w:cs="Hanken Grotesk" w:eastAsia="Hanken Grotesk"/>
          <w:b w:val="0"/>
          <w:i w:val="0"/>
          <w:color w:val="55606B"/>
          <w:sz w:val="17"/>
        </w:rPr>
        <w:t>crypto.news, on Visa stablecoin settlement scale and card-network stablecoin integration (secondary reporting; figures attributed). https://crypto.news/stablecoins-now-move-more-money-than-visa-and-mastercard-combined/</w:t>
      </w:r>
    </w:p>
    <w:p>
      <w:pPr>
        <w:spacing w:after="60"/>
        <w:ind w:left="400" w:hanging="400"/>
      </w:pPr>
      <w:r>
        <w:rPr>
          <w:rFonts w:ascii="IBM Plex Mono" w:hAnsi="IBM Plex Mono" w:cs="IBM Plex Mono" w:eastAsia="IBM Plex Mono"/>
          <w:b/>
          <w:i w:val="0"/>
          <w:color w:val="9A7320"/>
          <w:sz w:val="17"/>
        </w:rPr>
        <w:t xml:space="preserve">45.  </w:t>
      </w:r>
      <w:r>
        <w:rPr>
          <w:rFonts w:ascii="Hanken Grotesk" w:hAnsi="Hanken Grotesk" w:cs="Hanken Grotesk" w:eastAsia="Hanken Grotesk"/>
          <w:b w:val="0"/>
          <w:i w:val="0"/>
          <w:color w:val="55606B"/>
          <w:sz w:val="17"/>
        </w:rPr>
        <w:t>Anchorage Digital, "Anchorage Digital Issues USDtb, America's First Federally Regulated Stablecoin" (Anchorage's own characterization), October 14, 2025. https://www.anchorage.com/insights/anchorage-digital-issues-usdtb-americas-first-federally-regulated-stablecoin</w:t>
      </w:r>
    </w:p>
    <w:p>
      <w:pPr>
        <w:spacing w:after="60"/>
        <w:ind w:left="400" w:hanging="400"/>
      </w:pPr>
      <w:r>
        <w:rPr>
          <w:rFonts w:ascii="IBM Plex Mono" w:hAnsi="IBM Plex Mono" w:cs="IBM Plex Mono" w:eastAsia="IBM Plex Mono"/>
          <w:b/>
          <w:i w:val="0"/>
          <w:color w:val="9A7320"/>
          <w:sz w:val="17"/>
        </w:rPr>
        <w:t xml:space="preserve">46.  </w:t>
      </w:r>
      <w:r>
        <w:rPr>
          <w:rFonts w:ascii="Hanken Grotesk" w:hAnsi="Hanken Grotesk" w:cs="Hanken Grotesk" w:eastAsia="Hanken Grotesk"/>
          <w:b w:val="0"/>
          <w:i w:val="0"/>
          <w:color w:val="55606B"/>
          <w:sz w:val="17"/>
        </w:rPr>
        <w:t>rwa.xyz, Asset analytics dashboard and Tokenized U.S. Treasuries ($31.5B total RWA ex-stablecoins; $14.8B treasuries), June 3, 2026. https://app.rwa.xyz/treasuries</w:t>
      </w:r>
    </w:p>
    <w:p>
      <w:pPr>
        <w:spacing w:after="60"/>
        <w:ind w:left="400" w:hanging="400"/>
      </w:pPr>
      <w:r>
        <w:rPr>
          <w:rFonts w:ascii="IBM Plex Mono" w:hAnsi="IBM Plex Mono" w:cs="IBM Plex Mono" w:eastAsia="IBM Plex Mono"/>
          <w:b/>
          <w:i w:val="0"/>
          <w:color w:val="9A7320"/>
          <w:sz w:val="17"/>
        </w:rPr>
        <w:t xml:space="preserve">47.  </w:t>
      </w:r>
      <w:r>
        <w:rPr>
          <w:rFonts w:ascii="Hanken Grotesk" w:hAnsi="Hanken Grotesk" w:cs="Hanken Grotesk" w:eastAsia="Hanken Grotesk"/>
          <w:b w:val="0"/>
          <w:i w:val="0"/>
          <w:color w:val="55606B"/>
          <w:sz w:val="17"/>
        </w:rPr>
        <w:t>CoinGecko RWA Report 2026 (tokenized equities under 1% of TradFi volume). https://www.coingecko.com/research/publications/rwa-report-2026</w:t>
      </w:r>
    </w:p>
    <w:p>
      <w:pPr>
        <w:spacing w:after="60"/>
        <w:ind w:left="400" w:hanging="400"/>
      </w:pPr>
      <w:r>
        <w:rPr>
          <w:rFonts w:ascii="IBM Plex Mono" w:hAnsi="IBM Plex Mono" w:cs="IBM Plex Mono" w:eastAsia="IBM Plex Mono"/>
          <w:b/>
          <w:i w:val="0"/>
          <w:color w:val="9A7320"/>
          <w:sz w:val="17"/>
        </w:rPr>
        <w:t xml:space="preserve">48.  </w:t>
      </w:r>
      <w:r>
        <w:rPr>
          <w:rFonts w:ascii="Hanken Grotesk" w:hAnsi="Hanken Grotesk" w:cs="Hanken Grotesk" w:eastAsia="Hanken Grotesk"/>
          <w:b w:val="0"/>
          <w:i w:val="0"/>
          <w:color w:val="55606B"/>
          <w:sz w:val="17"/>
        </w:rPr>
        <w:t>McKinsey &amp; Company, "From Ripples to Waves: The Transformational Power of Tokenizing Assets" (base case ~$2T by 2030), via Yahoo Finance / CoinDesk, 2024. https://finance.yahoo.com/news/mckinsey-sees-just-2t-tokenized-180448151.html</w:t>
      </w:r>
    </w:p>
    <w:p>
      <w:pPr>
        <w:spacing w:after="60"/>
        <w:ind w:left="400" w:hanging="400"/>
      </w:pPr>
      <w:r>
        <w:rPr>
          <w:rFonts w:ascii="IBM Plex Mono" w:hAnsi="IBM Plex Mono" w:cs="IBM Plex Mono" w:eastAsia="IBM Plex Mono"/>
          <w:b/>
          <w:i w:val="0"/>
          <w:color w:val="9A7320"/>
          <w:sz w:val="17"/>
        </w:rPr>
        <w:t xml:space="preserve">49.  </w:t>
      </w:r>
      <w:r>
        <w:rPr>
          <w:rFonts w:ascii="Hanken Grotesk" w:hAnsi="Hanken Grotesk" w:cs="Hanken Grotesk" w:eastAsia="Hanken Grotesk"/>
          <w:b w:val="0"/>
          <w:i w:val="0"/>
          <w:color w:val="55606B"/>
          <w:sz w:val="17"/>
        </w:rPr>
        <w:t>Citi Institute, Global Perspectives and Solutions, "Tokenization 2030" ($5.5T base case). https://www.citigroup.com/rcs/citigpa/storage/public/Citi_Institute_GPS_Report_Tokenization_2030.pdf</w:t>
      </w:r>
    </w:p>
    <w:p>
      <w:pPr>
        <w:spacing w:after="60"/>
        <w:ind w:left="400" w:hanging="400"/>
      </w:pPr>
      <w:r>
        <w:rPr>
          <w:rFonts w:ascii="IBM Plex Mono" w:hAnsi="IBM Plex Mono" w:cs="IBM Plex Mono" w:eastAsia="IBM Plex Mono"/>
          <w:b/>
          <w:i w:val="0"/>
          <w:color w:val="9A7320"/>
          <w:sz w:val="17"/>
        </w:rPr>
        <w:t xml:space="preserve">50.  </w:t>
      </w:r>
      <w:r>
        <w:rPr>
          <w:rFonts w:ascii="Hanken Grotesk" w:hAnsi="Hanken Grotesk" w:cs="Hanken Grotesk" w:eastAsia="Hanken Grotesk"/>
          <w:b w:val="0"/>
          <w:i w:val="0"/>
          <w:color w:val="55606B"/>
          <w:sz w:val="17"/>
        </w:rPr>
        <w:t>McKinsey &amp; Company, "Agentic AI Will Shake Up Banking, Shrinking Global Profit Pools" (up to 20% opex reduction; ~$1.2T profit pool, ~10% at risk; +4pp ROTE). https://www.mckinsey.com/industries/financial-services/our-insights/banking-matters/agentic-ai-will-shake-up-banking-shrinking-global-profit-pools</w:t>
      </w:r>
    </w:p>
    <w:p>
      <w:pPr>
        <w:spacing w:after="60"/>
        <w:ind w:left="400" w:hanging="400"/>
      </w:pPr>
      <w:r>
        <w:rPr>
          <w:rFonts w:ascii="IBM Plex Mono" w:hAnsi="IBM Plex Mono" w:cs="IBM Plex Mono" w:eastAsia="IBM Plex Mono"/>
          <w:b/>
          <w:i w:val="0"/>
          <w:color w:val="9A7320"/>
          <w:sz w:val="17"/>
        </w:rPr>
        <w:t xml:space="preserve">51.  </w:t>
      </w:r>
      <w:r>
        <w:rPr>
          <w:rFonts w:ascii="Hanken Grotesk" w:hAnsi="Hanken Grotesk" w:cs="Hanken Grotesk" w:eastAsia="Hanken Grotesk"/>
          <w:b w:val="0"/>
          <w:i w:val="0"/>
          <w:color w:val="55606B"/>
          <w:sz w:val="17"/>
        </w:rPr>
        <w:t>Citi GPS, "Agentic AI: Finance and the 'Do It For Me' Economy," January 17, 2025. https://www.citigroup.com/global/insights/agentic-ai</w:t>
      </w:r>
    </w:p>
    <w:p>
      <w:pPr>
        <w:spacing w:after="60"/>
        <w:ind w:left="400" w:hanging="400"/>
      </w:pPr>
      <w:r>
        <w:rPr>
          <w:rFonts w:ascii="IBM Plex Mono" w:hAnsi="IBM Plex Mono" w:cs="IBM Plex Mono" w:eastAsia="IBM Plex Mono"/>
          <w:b/>
          <w:i w:val="0"/>
          <w:color w:val="9A7320"/>
          <w:sz w:val="17"/>
        </w:rPr>
        <w:t xml:space="preserve">52.  </w:t>
      </w:r>
      <w:r>
        <w:rPr>
          <w:rFonts w:ascii="Hanken Grotesk" w:hAnsi="Hanken Grotesk" w:cs="Hanken Grotesk" w:eastAsia="Hanken Grotesk"/>
          <w:b w:val="0"/>
          <w:i w:val="0"/>
          <w:color w:val="55606B"/>
          <w:sz w:val="17"/>
        </w:rPr>
        <w:t>Gartner, "40% of Enterprise Apps Will Feature Task-Specific AI Agents by 2026," August 26, 2025. https://www.gartner.com/en/newsroom/press-releases/2025-08-26-gartner-predicts-40-percent-of-enterprise-apps-will-feature-task-specific-ai-agents-by-2026-up-from-less-than-5-percent-in-2025</w:t>
      </w:r>
    </w:p>
    <w:p>
      <w:pPr>
        <w:spacing w:after="60"/>
        <w:ind w:left="400" w:hanging="400"/>
      </w:pPr>
      <w:r>
        <w:rPr>
          <w:rFonts w:ascii="IBM Plex Mono" w:hAnsi="IBM Plex Mono" w:cs="IBM Plex Mono" w:eastAsia="IBM Plex Mono"/>
          <w:b/>
          <w:i w:val="0"/>
          <w:color w:val="9A7320"/>
          <w:sz w:val="17"/>
        </w:rPr>
        <w:t xml:space="preserve">53.  </w:t>
      </w:r>
      <w:r>
        <w:rPr>
          <w:rFonts w:ascii="Hanken Grotesk" w:hAnsi="Hanken Grotesk" w:cs="Hanken Grotesk" w:eastAsia="Hanken Grotesk"/>
          <w:b w:val="0"/>
          <w:i w:val="0"/>
          <w:color w:val="55606B"/>
          <w:sz w:val="17"/>
        </w:rPr>
        <w:t>Boston Consulting Group, "How Agents Are Accelerating the Next Wave of AI Value Creation," 2025. https://www.bcg.com/publications/2025/agents-accelerate-next-wave-of-ai-value-creation</w:t>
      </w:r>
    </w:p>
    <w:p>
      <w:pPr>
        <w:spacing w:after="60"/>
        <w:ind w:left="400" w:hanging="400"/>
      </w:pPr>
      <w:r>
        <w:rPr>
          <w:rFonts w:ascii="IBM Plex Mono" w:hAnsi="IBM Plex Mono" w:cs="IBM Plex Mono" w:eastAsia="IBM Plex Mono"/>
          <w:b/>
          <w:i w:val="0"/>
          <w:color w:val="9A7320"/>
          <w:sz w:val="17"/>
        </w:rPr>
        <w:t xml:space="preserve">54.  </w:t>
      </w:r>
      <w:r>
        <w:rPr>
          <w:rFonts w:ascii="Hanken Grotesk" w:hAnsi="Hanken Grotesk" w:cs="Hanken Grotesk" w:eastAsia="Hanken Grotesk"/>
          <w:b w:val="0"/>
          <w:i w:val="0"/>
          <w:color w:val="55606B"/>
          <w:sz w:val="17"/>
        </w:rPr>
        <w:t>Gartner, "Over 40% of Agentic AI Projects Will Be Canceled by End of 2027," June 25, 2025. https://www.gartner.com/en/newsroom/press-releases/2025-06-25-gartner-predicts-over-40-percent-of-agentic-ai-projects-will-be-canceled-by-end-of-2027</w:t>
      </w:r>
    </w:p>
    <w:p>
      <w:pPr>
        <w:spacing w:after="60"/>
        <w:ind w:left="400" w:hanging="400"/>
      </w:pPr>
      <w:r>
        <w:rPr>
          <w:rFonts w:ascii="IBM Plex Mono" w:hAnsi="IBM Plex Mono" w:cs="IBM Plex Mono" w:eastAsia="IBM Plex Mono"/>
          <w:b/>
          <w:i w:val="0"/>
          <w:color w:val="9A7320"/>
          <w:sz w:val="17"/>
        </w:rPr>
        <w:t xml:space="preserve">55.  </w:t>
      </w:r>
      <w:r>
        <w:rPr>
          <w:rFonts w:ascii="Hanken Grotesk" w:hAnsi="Hanken Grotesk" w:cs="Hanken Grotesk" w:eastAsia="Hanken Grotesk"/>
          <w:b w:val="0"/>
          <w:i w:val="0"/>
          <w:color w:val="55606B"/>
          <w:sz w:val="17"/>
        </w:rPr>
        <w:t>Chainalysis, "Inside x402: 100M Agentic Payments on Base," June 3, 2026. https://www.chainalysis.com/blog/x402-agentic-payments-adoption/</w:t>
      </w:r>
    </w:p>
    <w:p>
      <w:pPr>
        <w:spacing w:after="60"/>
        <w:ind w:left="400" w:hanging="400"/>
      </w:pPr>
      <w:r>
        <w:rPr>
          <w:rFonts w:ascii="IBM Plex Mono" w:hAnsi="IBM Plex Mono" w:cs="IBM Plex Mono" w:eastAsia="IBM Plex Mono"/>
          <w:b/>
          <w:i w:val="0"/>
          <w:color w:val="9A7320"/>
          <w:sz w:val="17"/>
        </w:rPr>
        <w:t xml:space="preserve">56.  </w:t>
      </w:r>
      <w:r>
        <w:rPr>
          <w:rFonts w:ascii="Hanken Grotesk" w:hAnsi="Hanken Grotesk" w:cs="Hanken Grotesk" w:eastAsia="Hanken Grotesk"/>
          <w:b w:val="0"/>
          <w:i w:val="0"/>
          <w:color w:val="55606B"/>
          <w:sz w:val="17"/>
        </w:rPr>
        <w:t>Linux Foundation, "Linux Foundation Is Launching the x402 Foundation," April 2, 2026. https://www.prnewswire.com/news-releases/linux-foundation-is-launching-the-x402-foundation-and-welcoming-the-contribution-of-the-x402-protocol-302732803.html</w:t>
      </w:r>
    </w:p>
    <w:p>
      <w:pPr>
        <w:spacing w:after="60"/>
        <w:ind w:left="400" w:hanging="400"/>
      </w:pPr>
      <w:r>
        <w:rPr>
          <w:rFonts w:ascii="IBM Plex Mono" w:hAnsi="IBM Plex Mono" w:cs="IBM Plex Mono" w:eastAsia="IBM Plex Mono"/>
          <w:b/>
          <w:i w:val="0"/>
          <w:color w:val="9A7320"/>
          <w:sz w:val="17"/>
        </w:rPr>
        <w:t xml:space="preserve">57.  </w:t>
      </w:r>
      <w:r>
        <w:rPr>
          <w:rFonts w:ascii="Hanken Grotesk" w:hAnsi="Hanken Grotesk" w:cs="Hanken Grotesk" w:eastAsia="Hanken Grotesk"/>
          <w:b w:val="0"/>
          <w:i w:val="0"/>
          <w:color w:val="55606B"/>
          <w:sz w:val="17"/>
        </w:rPr>
        <w:t>Ethereum Improvement Proposals, EIP-8004 (Trustless Agents), mainnet January 29, 2026. https://eips.ethereum.org/EIPS/eip-8004</w:t>
      </w:r>
    </w:p>
    <w:p>
      <w:pPr>
        <w:spacing w:after="60"/>
        <w:ind w:left="400" w:hanging="400"/>
      </w:pPr>
      <w:r>
        <w:rPr>
          <w:rFonts w:ascii="IBM Plex Mono" w:hAnsi="IBM Plex Mono" w:cs="IBM Plex Mono" w:eastAsia="IBM Plex Mono"/>
          <w:b/>
          <w:i w:val="0"/>
          <w:color w:val="9A7320"/>
          <w:sz w:val="17"/>
        </w:rPr>
        <w:t xml:space="preserve">58.  </w:t>
      </w:r>
      <w:r>
        <w:rPr>
          <w:rFonts w:ascii="Hanken Grotesk" w:hAnsi="Hanken Grotesk" w:cs="Hanken Grotesk" w:eastAsia="Hanken Grotesk"/>
          <w:b w:val="0"/>
          <w:i w:val="0"/>
          <w:color w:val="55606B"/>
          <w:sz w:val="17"/>
        </w:rPr>
        <w:t>Mastercard Newsroom, agentic commerce tools and Agentic Tokens, September 2025. https://www.mastercard.com/us/en/news-and-trends/press/2025/september/mastercard-unveils-new-tools-and-collaborations-to-power-smarter,-safer-agentic-commerce.html</w:t>
      </w:r>
    </w:p>
    <w:p>
      <w:pPr>
        <w:spacing w:after="60"/>
        <w:ind w:left="400" w:hanging="400"/>
      </w:pPr>
      <w:r>
        <w:rPr>
          <w:rFonts w:ascii="IBM Plex Mono" w:hAnsi="IBM Plex Mono" w:cs="IBM Plex Mono" w:eastAsia="IBM Plex Mono"/>
          <w:b/>
          <w:i w:val="0"/>
          <w:color w:val="9A7320"/>
          <w:sz w:val="17"/>
        </w:rPr>
        <w:t xml:space="preserve">59.  </w:t>
      </w:r>
      <w:r>
        <w:rPr>
          <w:rFonts w:ascii="Hanken Grotesk" w:hAnsi="Hanken Grotesk" w:cs="Hanken Grotesk" w:eastAsia="Hanken Grotesk"/>
          <w:b w:val="0"/>
          <w:i w:val="0"/>
          <w:color w:val="55606B"/>
          <w:sz w:val="17"/>
        </w:rPr>
        <w:t>ICSC and McKinsey &amp; Company, via Retail Dive (US agentic commerce ~$1T by 2030), May 2026. https://www.retaildive.com/news/agentic-commerce-us-one-trillion-2030/818936/</w:t>
      </w:r>
    </w:p>
    <w:p>
      <w:pPr>
        <w:spacing w:after="60"/>
        <w:ind w:left="400" w:hanging="400"/>
      </w:pPr>
      <w:r>
        <w:rPr>
          <w:rFonts w:ascii="IBM Plex Mono" w:hAnsi="IBM Plex Mono" w:cs="IBM Plex Mono" w:eastAsia="IBM Plex Mono"/>
          <w:b/>
          <w:i w:val="0"/>
          <w:color w:val="9A7320"/>
          <w:sz w:val="17"/>
        </w:rPr>
        <w:t xml:space="preserve">60.  </w:t>
      </w:r>
      <w:r>
        <w:rPr>
          <w:rFonts w:ascii="Hanken Grotesk" w:hAnsi="Hanken Grotesk" w:cs="Hanken Grotesk" w:eastAsia="Hanken Grotesk"/>
          <w:b w:val="0"/>
          <w:i w:val="0"/>
          <w:color w:val="55606B"/>
          <w:sz w:val="17"/>
        </w:rPr>
        <w:t>Morgan Stanley, "Agentic Commerce Market Impact Outlook" ($190B-$385B US e-commerce, 10-20% of online retail, by 2030). https://www.morganstanley.com/insights/articles/agentic-commerce-market-impact-outlook</w:t>
      </w:r>
    </w:p>
    <w:p>
      <w:pPr>
        <w:spacing w:after="60"/>
        <w:ind w:left="400" w:hanging="400"/>
      </w:pPr>
      <w:r>
        <w:rPr>
          <w:rFonts w:ascii="IBM Plex Mono" w:hAnsi="IBM Plex Mono" w:cs="IBM Plex Mono" w:eastAsia="IBM Plex Mono"/>
          <w:b/>
          <w:i w:val="0"/>
          <w:color w:val="9A7320"/>
          <w:sz w:val="17"/>
        </w:rPr>
        <w:t xml:space="preserve">61.  </w:t>
      </w:r>
      <w:r>
        <w:rPr>
          <w:rFonts w:ascii="Hanken Grotesk" w:hAnsi="Hanken Grotesk" w:cs="Hanken Grotesk" w:eastAsia="Hanken Grotesk"/>
          <w:b w:val="0"/>
          <w:i w:val="0"/>
          <w:color w:val="55606B"/>
          <w:sz w:val="17"/>
        </w:rPr>
        <w:t>South, Marro, Hardjono, Mahari, et al. (MIT Media Lab), "Authenticated Delegation and Authorized AI Agents," arXiv:2501.09674, January 16, 2025. https://arxiv.org/abs/2501.09674</w:t>
      </w:r>
    </w:p>
    <w:p>
      <w:pPr>
        <w:spacing w:after="60"/>
        <w:ind w:left="400" w:hanging="400"/>
      </w:pPr>
      <w:r>
        <w:rPr>
          <w:rFonts w:ascii="IBM Plex Mono" w:hAnsi="IBM Plex Mono" w:cs="IBM Plex Mono" w:eastAsia="IBM Plex Mono"/>
          <w:b/>
          <w:i w:val="0"/>
          <w:color w:val="9A7320"/>
          <w:sz w:val="17"/>
        </w:rPr>
        <w:t xml:space="preserve">62.  </w:t>
      </w:r>
      <w:r>
        <w:rPr>
          <w:rFonts w:ascii="Hanken Grotesk" w:hAnsi="Hanken Grotesk" w:cs="Hanken Grotesk" w:eastAsia="Hanken Grotesk"/>
          <w:b w:val="0"/>
          <w:i w:val="0"/>
          <w:color w:val="55606B"/>
          <w:sz w:val="17"/>
        </w:rPr>
        <w:t>Skyfire, "Know Your Agent (KYA)," September 5, 2024. https://skyfire.xyz/know-your-agent-kya/</w:t>
      </w:r>
    </w:p>
    <w:p>
      <w:pPr>
        <w:spacing w:after="60"/>
        <w:ind w:left="400" w:hanging="400"/>
      </w:pPr>
      <w:r>
        <w:rPr>
          <w:rFonts w:ascii="IBM Plex Mono" w:hAnsi="IBM Plex Mono" w:cs="IBM Plex Mono" w:eastAsia="IBM Plex Mono"/>
          <w:b/>
          <w:i w:val="0"/>
          <w:color w:val="9A7320"/>
          <w:sz w:val="17"/>
        </w:rPr>
        <w:t xml:space="preserve">63.  </w:t>
      </w:r>
      <w:r>
        <w:rPr>
          <w:rFonts w:ascii="Hanken Grotesk" w:hAnsi="Hanken Grotesk" w:cs="Hanken Grotesk" w:eastAsia="Hanken Grotesk"/>
          <w:b w:val="0"/>
          <w:i w:val="0"/>
          <w:color w:val="55606B"/>
          <w:sz w:val="17"/>
        </w:rPr>
        <w:t>Skyfire, "Skyfire's KYA Protocol Is Now the Identity Layer for Experian's Know Your Agent Framework," April 30, 2026. https://skyfire.xyz/skyfires-kya-protocol-is-now-the-identity-layer-for-experians-know-your-agent-framework/</w:t>
      </w:r>
    </w:p>
    <w:p>
      <w:pPr>
        <w:spacing w:after="60"/>
        <w:ind w:left="400" w:hanging="400"/>
      </w:pPr>
      <w:r>
        <w:rPr>
          <w:rFonts w:ascii="IBM Plex Mono" w:hAnsi="IBM Plex Mono" w:cs="IBM Plex Mono" w:eastAsia="IBM Plex Mono"/>
          <w:b/>
          <w:i w:val="0"/>
          <w:color w:val="9A7320"/>
          <w:sz w:val="17"/>
        </w:rPr>
        <w:t xml:space="preserve">64.  </w:t>
      </w:r>
      <w:r>
        <w:rPr>
          <w:rFonts w:ascii="Hanken Grotesk" w:hAnsi="Hanken Grotesk" w:cs="Hanken Grotesk" w:eastAsia="Hanken Grotesk"/>
          <w:b w:val="0"/>
          <w:i w:val="0"/>
          <w:color w:val="55606B"/>
          <w:sz w:val="17"/>
        </w:rPr>
        <w:t>Visa Newsroom, Trusted Agent Protocol within Visa Intelligent Commerce, October 14, 2025. https://usa.visa.com/about-visa/newsroom/press-releases.releaseId.21361.html</w:t>
      </w:r>
    </w:p>
    <w:p>
      <w:pPr>
        <w:spacing w:after="160"/>
      </w:pPr>
      <w:r>
        <w:rPr>
          <w:rFonts w:ascii="Hanken Grotesk" w:hAnsi="Hanken Grotesk" w:cs="Hanken Grotesk" w:eastAsia="Hanken Grotesk"/>
          <w:b w:val="0"/>
          <w:i w:val="0"/>
          <w:color w:val="16202B"/>
          <w:sz w:val="21"/>
        </w:rPr>
        <w:t>_DRAFT v1, built 2026-06-03 from 126 source-tagged research findings. Not for publication. Review chain: Jarred, then Anchorage editorial, then Nathan, then compliance counsel. The deck's existing BTC-to-Nasdaq correlation claim (the 26%-to-40% / beta-0.9-1.0 figure) is contradicted by this research and is flagged separately for correction in the deck and in data-provenance.md._</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tcW w:w="9360" w:type="dxa"/>
            <w:shd w:val="clear" w:color="auto" w:fill="0A1726"/>
            <w:tcMar>
              <w:top w:w="420" w:type="dxa"/>
              <w:bottom w:w="420" w:type="dxa"/>
              <w:left w:w="300" w:type="dxa"/>
              <w:right w:w="300" w:type="dxa"/>
            </w:tcMar>
          </w:tcPr>
          <w:p>
            <w:pPr>
              <w:spacing w:lineRule="auto" w:after="200" w:line="240"/>
            </w:pPr>
            <w:r>
              <w:rPr>
                <w:rFonts w:ascii="IBM Plex Mono" w:hAnsi="IBM Plex Mono" w:cs="IBM Plex Mono" w:eastAsia="IBM Plex Mono"/>
                <w:b w:val="0"/>
                <w:i w:val="0"/>
                <w:color w:val="D8A94A"/>
                <w:sz w:val="18"/>
                <w:spacing w:val="40"/>
              </w:rPr>
              <w:t>PAPER 01  ·  PILLAR 1, FINANCIAL INFRASTRUCTURE / AGENTIC BANKING</w:t>
            </w:r>
          </w:p>
          <w:p>
            <w:pPr>
              <w:spacing w:lineRule="auto" w:after="120" w:line="250"/>
            </w:pPr>
            <w:r>
              <w:rPr>
                <w:rFonts w:ascii="Fraunces" w:hAnsi="Fraunces" w:cs="Fraunces" w:eastAsia="Fraunces"/>
                <w:b/>
                <w:i w:val="0"/>
                <w:color w:val="F2ECDF"/>
                <w:sz w:val="48"/>
              </w:rPr>
              <w:t>The Agent Underwriting Gap</w:t>
            </w:r>
          </w:p>
          <w:p>
            <w:pPr>
              <w:spacing w:lineRule="auto" w:before="40" w:after="200"/>
              <w:pBdr>
                <w:bottom w:val="single" w:sz="8" w:space="1" w:color="D8A94A"/>
              </w:pBdr>
            </w:pPr>
            <w:r>
              <w:rPr>
                <w:rFonts w:ascii="Hanken Grotesk" w:hAnsi="Hanken Grotesk" w:cs="Hanken Grotesk" w:eastAsia="Hanken Grotesk"/>
                <w:b w:val="0"/>
                <w:i w:val="0"/>
                <w:color w:val="D8A94A"/>
                <w:sz w:val="4"/>
              </w:rPr>
            </w:r>
          </w:p>
          <w:p>
            <w:pPr>
              <w:spacing w:lineRule="auto" w:after="240" w:line="288"/>
            </w:pPr>
            <w:r>
              <w:rPr>
                <w:rFonts w:ascii="Fraunces" w:hAnsi="Fraunces" w:cs="Fraunces" w:eastAsia="Fraunces"/>
                <w:b w:val="0"/>
                <w:i/>
                <w:color w:val="DEE5EE"/>
                <w:sz w:val="28"/>
              </w:rPr>
              <w:t>What an agent needs before it touches money</w:t>
            </w:r>
          </w:p>
          <w:p>
            <w:pPr>
              <w:spacing w:lineRule="auto" w:before="120" w:after="80" w:line="312"/>
            </w:pPr>
            <w:r>
              <w:rPr>
                <w:rFonts w:ascii="Fraunces" w:hAnsi="Fraunces" w:cs="Fraunces" w:eastAsia="Fraunces"/>
                <w:b w:val="0"/>
                <w:i/>
                <w:color w:val="EAC36B"/>
                <w:sz w:val="24"/>
              </w:rPr>
              <w:t>The standards establish identity and authorization. They stop, by design, short of underwriting, custody, and accountability. Those are a bank’s job.</w:t>
            </w:r>
          </w:p>
        </w:tc>
      </w:tr>
    </w:tbl>
    <w:p>
      <w:pPr>
        <w:spacing w:after="120" w:before="0"/>
      </w:pPr>
    </w:p>
    <w:p>
      <w:pPr>
        <w:keepNext/>
        <w:spacing w:before="320" w:after="120"/>
        <w:pBdr>
          <w:bottom w:val="single" w:sz="4" w:space="4" w:color="D8A94A"/>
        </w:pBdr>
      </w:pPr>
      <w:r>
        <w:rPr>
          <w:rFonts w:ascii="Fraunces" w:hAnsi="Fraunces" w:cs="Fraunces" w:eastAsia="Fraunces"/>
          <w:b/>
          <w:i w:val="0"/>
          <w:color w:val="D8A94A"/>
          <w:sz w:val="32"/>
        </w:rPr>
        <w:t>Executive summary</w:t>
      </w:r>
    </w:p>
    <w:p>
      <w:pPr>
        <w:spacing w:after="160"/>
      </w:pPr>
      <w:r>
        <w:rPr>
          <w:rFonts w:ascii="Hanken Grotesk" w:hAnsi="Hanken Grotesk" w:cs="Hanken Grotesk" w:eastAsia="Hanken Grotesk"/>
          <w:b w:val="0"/>
          <w:i w:val="0"/>
          <w:color w:val="16202B"/>
          <w:sz w:val="21"/>
        </w:rPr>
        <w:t>The agent economy is being built on a stack of new standards, and they are good. They give an autonomous agent a verifiable identity, a record of what it is permitted to do, and a way to pay. What they do not give it, by the explicit design of their own authors, is the thing regulated finance is built on: an answer to who underwrote the agent, who custodies the assets it acts on, and who is accountable when it fails.</w:t>
      </w:r>
    </w:p>
    <w:p>
      <w:pPr>
        <w:spacing w:after="160"/>
      </w:pPr>
      <w:r>
        <w:rPr>
          <w:rFonts w:ascii="Hanken Grotesk" w:hAnsi="Hanken Grotesk" w:cs="Hanken Grotesk" w:eastAsia="Hanken Grotesk"/>
          <w:b w:val="0"/>
          <w:i w:val="0"/>
          <w:color w:val="16202B"/>
          <w:sz w:val="21"/>
        </w:rPr>
        <w:t>That is the agent underwriting gap. It is not a flaw in the standards. It is the place where the protocol layer ends and the banking layer begins.</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Every leading agent-identity standard scopes itself to identity, authorization, and auditability, and explicitly excludes underwriting, credit, and custody. The gap is structural, and it is a banking function.</w:t>
      </w:r>
    </w:p>
    <w:p>
      <w:pPr>
        <w:spacing w:after="160"/>
      </w:pPr>
      <w:r>
        <w:rPr>
          <w:rFonts w:ascii="Hanken Grotesk" w:hAnsi="Hanken Grotesk" w:cs="Hanken Grotesk" w:eastAsia="Hanken Grotesk"/>
          <w:b w:val="0"/>
          <w:i w:val="0"/>
          <w:color w:val="16202B"/>
          <w:sz w:val="21"/>
        </w:rPr>
        <w:t>This paper maps what the standards cover, shows where they stop, and argues that the institutions deploying capital-bearing agents will require a regulated trust layer underneath them, the same way institutional crypto required regulated custody before the capital arrived.</w:t>
      </w:r>
    </w:p>
    <w:p>
      <w:pPr>
        <w:keepNext/>
        <w:spacing w:before="320" w:after="120"/>
        <w:pBdr>
          <w:bottom w:val="single" w:sz="4" w:space="4" w:color="D8A94A"/>
        </w:pBdr>
      </w:pPr>
      <w:r>
        <w:rPr>
          <w:rFonts w:ascii="Fraunces" w:hAnsi="Fraunces" w:cs="Fraunces" w:eastAsia="Fraunces"/>
          <w:b/>
          <w:i w:val="0"/>
          <w:color w:val="D8A94A"/>
          <w:sz w:val="32"/>
        </w:rPr>
        <w:t>1. The standards are real, and converging fast</w:t>
      </w:r>
    </w:p>
    <w:p>
      <w:pPr>
        <w:spacing w:after="160"/>
      </w:pPr>
      <w:r>
        <w:rPr>
          <w:rFonts w:ascii="Hanken Grotesk" w:hAnsi="Hanken Grotesk" w:cs="Hanken Grotesk" w:eastAsia="Hanken Grotesk"/>
          <w:b w:val="0"/>
          <w:i w:val="0"/>
          <w:color w:val="16202B"/>
          <w:sz w:val="21"/>
        </w:rPr>
        <w:t>Agents are already transacting at scale. Coinbase's x402 payment protocol crossed more than 100 million cumulative agent transactions on the Base network in roughly three quarters, and its transaction mix shifted decisively toward real economic payments, with payments above one dollar rising from 49% to 95% of volume. [1] In April 2026, x402 moved to neutral governance under the Linux Foundation, with founding members spanning Circle, Visa, Mastercard, American Express, Google, Microsoft, Amazon Web Services, Stripe, Cloudflare, Shopify, and the Solana and Polygon ecosystems. [2] Ethereum's ERC-8004 standard for agent identity went live on mainnet in January 2026, authored by contributors from MetaMask, the Ethereum Foundation, Google, and Coinbase. [3] Mastercard completed its first live agentic payment in September 2025 and extended the capability across all US cardholders by November. [4]</w:t>
      </w:r>
    </w:p>
    <w:p>
      <w:pPr>
        <w:spacing w:after="160"/>
      </w:pPr>
      <w:r>
        <w:rPr>
          <w:rFonts w:ascii="Hanken Grotesk" w:hAnsi="Hanken Grotesk" w:cs="Hanken Grotesk" w:eastAsia="Hanken Grotesk"/>
          <w:b w:val="0"/>
          <w:i w:val="0"/>
          <w:color w:val="16202B"/>
          <w:sz w:val="21"/>
        </w:rPr>
        <w:t>This is not a speculative future. It is an infrastructure build-out with the largest names in payments and technology behind it.</w:t>
      </w:r>
    </w:p>
    <w:p>
      <w:pPr>
        <w:keepNext/>
        <w:spacing w:before="320" w:after="120"/>
        <w:pBdr>
          <w:bottom w:val="single" w:sz="4" w:space="4" w:color="D8A94A"/>
        </w:pBdr>
      </w:pPr>
      <w:r>
        <w:rPr>
          <w:rFonts w:ascii="Fraunces" w:hAnsi="Fraunces" w:cs="Fraunces" w:eastAsia="Fraunces"/>
          <w:b/>
          <w:i w:val="0"/>
          <w:color w:val="D8A94A"/>
          <w:sz w:val="32"/>
        </w:rPr>
        <w:t>2. Where the standards stop</w:t>
      </w:r>
    </w:p>
    <w:p>
      <w:pPr>
        <w:spacing w:after="160"/>
      </w:pPr>
      <w:r>
        <w:rPr>
          <w:rFonts w:ascii="Hanken Grotesk" w:hAnsi="Hanken Grotesk" w:cs="Hanken Grotesk" w:eastAsia="Hanken Grotesk"/>
          <w:b w:val="0"/>
          <w:i w:val="0"/>
          <w:color w:val="16202B"/>
          <w:sz w:val="21"/>
        </w:rPr>
        <w:t>Read the standards on their own terms and a consistent boundary appears.</w:t>
      </w:r>
    </w:p>
    <w:p>
      <w:pPr>
        <w:spacing w:after="160"/>
      </w:pPr>
      <w:r>
        <w:rPr>
          <w:rFonts w:ascii="Hanken Grotesk" w:hAnsi="Hanken Grotesk" w:cs="Hanken Grotesk" w:eastAsia="Hanken Grotesk"/>
          <w:b w:val="0"/>
          <w:i w:val="0"/>
          <w:color w:val="16202B"/>
          <w:sz w:val="21"/>
        </w:rPr>
        <w:t>Ethereum's ERC-8004 defines three registries, for identity, reputation, and validation, and its authors state plainly that the protocol "does not cover payments," deliberately leaving application logic off-chain. [5] The identity-verification incumbents Sumsub and Trulioo both define Know Your Agent as a framework for identity, authorization, and auditability, and both explicitly exclude underwriting, credit decisions, and asset custody from its scope. [6] Visa's Trusted Agent Protocol confirms that an agent is authorized to act for a consumer; it is authentication, not custody. [7] The foundational MIT Media Lab work on authenticated delegation, from January 2025, proposes extending existing identity protocols to agents and does not even use the phrase "Know Your Agent." [8]</w:t>
      </w:r>
    </w:p>
    <w:p>
      <w:pPr>
        <w:spacing w:after="160"/>
      </w:pPr>
      <w:r>
        <w:rPr>
          <w:rFonts w:ascii="Hanken Grotesk" w:hAnsi="Hanken Grotesk" w:cs="Hanken Grotesk" w:eastAsia="Hanken Grotesk"/>
          <w:b w:val="0"/>
          <w:i w:val="0"/>
          <w:color w:val="16202B"/>
          <w:sz w:val="21"/>
        </w:rPr>
        <w:t>Two facts follow. First, Know Your Agent is a contested category, used independently by academic, vendor, payments-network, and protocol claimants. No single firm coined it, and Anchorage does not claim to. [6] Second, and more important, every one of these standards answers the same two questions, who is this agent and what is it allowed to do, and none answers the three a regulated institution must answer before it lets an agent touch capital: who underwrote it, who custodies what it touches, and who is accountable when it fails. As of June 2026, no financial regulator has issued a Know Your Agent standard. [6]</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The protocols establish identity and authorization. Underwriting, custody, and accountability are out of their scope on purpose. That is the gap a chartered bank fills.</w:t>
      </w:r>
    </w:p>
    <w:p>
      <w:pPr>
        <w:keepNext/>
        <w:spacing w:before="320" w:after="120"/>
        <w:pBdr>
          <w:bottom w:val="single" w:sz="4" w:space="4" w:color="D8A94A"/>
        </w:pBdr>
      </w:pPr>
      <w:r>
        <w:rPr>
          <w:rFonts w:ascii="Fraunces" w:hAnsi="Fraunces" w:cs="Fraunces" w:eastAsia="Fraunces"/>
          <w:b/>
          <w:i w:val="0"/>
          <w:color w:val="D8A94A"/>
          <w:sz w:val="32"/>
        </w:rPr>
        <w:t>3. Why the gap matters now</w:t>
      </w:r>
    </w:p>
    <w:p>
      <w:pPr>
        <w:spacing w:after="160"/>
      </w:pPr>
      <w:r>
        <w:rPr>
          <w:rFonts w:ascii="Hanken Grotesk" w:hAnsi="Hanken Grotesk" w:cs="Hanken Grotesk" w:eastAsia="Hanken Grotesk"/>
          <w:b w:val="0"/>
          <w:i w:val="0"/>
          <w:color w:val="16202B"/>
          <w:sz w:val="21"/>
        </w:rPr>
        <w:t>The economic pull is real and it is being quantified by the most conservative institutions in finance. McKinsey estimates agentic AI could reduce banking operating costs by up to 20% and open a four-percentage-point return-on-tangible-equity gap between leaders and laggards. [9] Citi argues agentic AI could affect finance more than the internet did. [10] Gartner projects 40% of enterprise applications will embed task-specific AI agents by the end of 2026, up from under 5% a year earlier. [11]</w:t>
      </w:r>
    </w:p>
    <w:p>
      <w:pPr>
        <w:spacing w:after="160"/>
      </w:pPr>
      <w:r>
        <w:rPr>
          <w:rFonts w:ascii="Hanken Grotesk" w:hAnsi="Hanken Grotesk" w:cs="Hanken Grotesk" w:eastAsia="Hanken Grotesk"/>
          <w:b w:val="0"/>
          <w:i w:val="0"/>
          <w:color w:val="16202B"/>
          <w:sz w:val="21"/>
        </w:rPr>
        <w:t>The same sources flag the discipline problem. Gartner predicts more than 40% of agentic AI projects will be canceled by the end of 2027, citing cost, unclear value, and weak risk controls. [12] The agent economy is arriving, and it is arriving unevenly. The agents that get near real money will be the ones a regulated institution can stand behind.</w:t>
      </w:r>
    </w:p>
    <w:p>
      <w:pPr>
        <w:keepNext/>
        <w:spacing w:before="320" w:after="120"/>
        <w:pBdr>
          <w:bottom w:val="single" w:sz="4" w:space="4" w:color="D8A94A"/>
        </w:pBdr>
      </w:pPr>
      <w:r>
        <w:rPr>
          <w:rFonts w:ascii="Fraunces" w:hAnsi="Fraunces" w:cs="Fraunces" w:eastAsia="Fraunces"/>
          <w:b/>
          <w:i w:val="0"/>
          <w:color w:val="D8A94A"/>
          <w:sz w:val="32"/>
        </w:rPr>
        <w:t>4. The position: underwrite the agent</w:t>
      </w:r>
    </w:p>
    <w:p>
      <w:pPr>
        <w:spacing w:after="160"/>
      </w:pPr>
      <w:r>
        <w:rPr>
          <w:rFonts w:ascii="Hanken Grotesk" w:hAnsi="Hanken Grotesk" w:cs="Hanken Grotesk" w:eastAsia="Hanken Grotesk"/>
          <w:b w:val="0"/>
          <w:i w:val="0"/>
          <w:color w:val="16202B"/>
          <w:sz w:val="21"/>
        </w:rPr>
        <w:t>The regulated-bank reading of Know Your Agent is the layer the standards leave open. It is not the identity credential, which the protocols already issue. It is underwriting the agent before it transacts, custodying the assets it acts on under segmented, governed, recoverable controls (an allowance, not the keys), and carrying the accountability a charter requires.</w:t>
      </w:r>
    </w:p>
    <w:p>
      <w:pPr>
        <w:spacing w:after="160"/>
      </w:pPr>
      <w:r>
        <w:rPr>
          <w:rFonts w:ascii="Hanken Grotesk" w:hAnsi="Hanken Grotesk" w:cs="Hanken Grotesk" w:eastAsia="Hanken Grotesk"/>
          <w:b w:val="0"/>
          <w:i w:val="0"/>
          <w:color w:val="16202B"/>
          <w:sz w:val="21"/>
        </w:rPr>
        <w:t>Anchorage's position is that these controls are not friction on the agent economy. They are its on-ramp. An agent that a regulated bank can underwrite and stand behind is an agent an institution can actually deploy against real capital. The identity standards are necessary. They are not sufficient. Sufficiency is a bank.</w:t>
      </w:r>
    </w:p>
    <w:p>
      <w:pPr>
        <w:keepNext/>
        <w:spacing w:before="320" w:after="120"/>
        <w:pBdr>
          <w:bottom w:val="single" w:sz="4" w:space="4" w:color="D8A94A"/>
        </w:pBdr>
      </w:pPr>
      <w:r>
        <w:rPr>
          <w:rFonts w:ascii="Fraunces" w:hAnsi="Fraunces" w:cs="Fraunces" w:eastAsia="Fraunces"/>
          <w:b/>
          <w:i w:val="0"/>
          <w:color w:val="D8A94A"/>
          <w:sz w:val="32"/>
        </w:rPr>
        <w:t>Sources</w:t>
      </w:r>
    </w:p>
    <w:p>
      <w:pPr>
        <w:spacing w:after="60"/>
        <w:ind w:left="400" w:hanging="400"/>
      </w:pPr>
      <w:r>
        <w:rPr>
          <w:rFonts w:ascii="IBM Plex Mono" w:hAnsi="IBM Plex Mono" w:cs="IBM Plex Mono" w:eastAsia="IBM Plex Mono"/>
          <w:b/>
          <w:i w:val="0"/>
          <w:color w:val="9A7320"/>
          <w:sz w:val="17"/>
        </w:rPr>
        <w:t xml:space="preserve">1.  </w:t>
      </w:r>
      <w:r>
        <w:rPr>
          <w:rFonts w:ascii="Hanken Grotesk" w:hAnsi="Hanken Grotesk" w:cs="Hanken Grotesk" w:eastAsia="Hanken Grotesk"/>
          <w:b w:val="0"/>
          <w:i w:val="0"/>
          <w:color w:val="55606B"/>
          <w:sz w:val="17"/>
        </w:rPr>
        <w:t>Chainalysis, "Inside x402: 100M Agentic Payments on Base," June 3, 2026. https://www.chainalysis.com/blog/x402-agentic-payments-adoption/</w:t>
      </w:r>
    </w:p>
    <w:p>
      <w:pPr>
        <w:spacing w:after="60"/>
        <w:ind w:left="400" w:hanging="400"/>
      </w:pPr>
      <w:r>
        <w:rPr>
          <w:rFonts w:ascii="IBM Plex Mono" w:hAnsi="IBM Plex Mono" w:cs="IBM Plex Mono" w:eastAsia="IBM Plex Mono"/>
          <w:b/>
          <w:i w:val="0"/>
          <w:color w:val="9A7320"/>
          <w:sz w:val="17"/>
        </w:rPr>
        <w:t xml:space="preserve">2.  </w:t>
      </w:r>
      <w:r>
        <w:rPr>
          <w:rFonts w:ascii="Hanken Grotesk" w:hAnsi="Hanken Grotesk" w:cs="Hanken Grotesk" w:eastAsia="Hanken Grotesk"/>
          <w:b w:val="0"/>
          <w:i w:val="0"/>
          <w:color w:val="55606B"/>
          <w:sz w:val="17"/>
        </w:rPr>
        <w:t>Linux Foundation, "Linux Foundation Is Launching the x402 Foundation," April 2, 2026. https://www.prnewswire.com/news-releases/linux-foundation-is-launching-the-x402-foundation-and-welcoming-the-contribution-of-the-x402-protocol-302732803.html</w:t>
      </w:r>
    </w:p>
    <w:p>
      <w:pPr>
        <w:spacing w:after="60"/>
        <w:ind w:left="400" w:hanging="400"/>
      </w:pPr>
      <w:r>
        <w:rPr>
          <w:rFonts w:ascii="IBM Plex Mono" w:hAnsi="IBM Plex Mono" w:cs="IBM Plex Mono" w:eastAsia="IBM Plex Mono"/>
          <w:b/>
          <w:i w:val="0"/>
          <w:color w:val="9A7320"/>
          <w:sz w:val="17"/>
        </w:rPr>
        <w:t xml:space="preserve">3.  </w:t>
      </w:r>
      <w:r>
        <w:rPr>
          <w:rFonts w:ascii="Hanken Grotesk" w:hAnsi="Hanken Grotesk" w:cs="Hanken Grotesk" w:eastAsia="Hanken Grotesk"/>
          <w:b w:val="0"/>
          <w:i w:val="0"/>
          <w:color w:val="55606B"/>
          <w:sz w:val="17"/>
        </w:rPr>
        <w:t>Ethereum Improvement Proposals, EIP-8004 (Trustless Agents), mainnet January 29, 2026. https://eips.ethereum.org/EIPS/eip-8004</w:t>
      </w:r>
    </w:p>
    <w:p>
      <w:pPr>
        <w:spacing w:after="60"/>
        <w:ind w:left="400" w:hanging="400"/>
      </w:pPr>
      <w:r>
        <w:rPr>
          <w:rFonts w:ascii="IBM Plex Mono" w:hAnsi="IBM Plex Mono" w:cs="IBM Plex Mono" w:eastAsia="IBM Plex Mono"/>
          <w:b/>
          <w:i w:val="0"/>
          <w:color w:val="9A7320"/>
          <w:sz w:val="17"/>
        </w:rPr>
        <w:t xml:space="preserve">4.  </w:t>
      </w:r>
      <w:r>
        <w:rPr>
          <w:rFonts w:ascii="Hanken Grotesk" w:hAnsi="Hanken Grotesk" w:cs="Hanken Grotesk" w:eastAsia="Hanken Grotesk"/>
          <w:b w:val="0"/>
          <w:i w:val="0"/>
          <w:color w:val="55606B"/>
          <w:sz w:val="17"/>
        </w:rPr>
        <w:t>Mastercard Newsroom, agentic commerce tools and Agentic Tokens, September 2025. https://www.mastercard.com/us/en/news-and-trends/press/2025/september/mastercard-unveils-new-tools-and-collaborations-to-power-smarter,-safer-agentic-commerce.html</w:t>
      </w:r>
    </w:p>
    <w:p>
      <w:pPr>
        <w:spacing w:after="60"/>
        <w:ind w:left="400" w:hanging="400"/>
      </w:pPr>
      <w:r>
        <w:rPr>
          <w:rFonts w:ascii="IBM Plex Mono" w:hAnsi="IBM Plex Mono" w:cs="IBM Plex Mono" w:eastAsia="IBM Plex Mono"/>
          <w:b/>
          <w:i w:val="0"/>
          <w:color w:val="9A7320"/>
          <w:sz w:val="17"/>
        </w:rPr>
        <w:t xml:space="preserve">5.  </w:t>
      </w:r>
      <w:r>
        <w:rPr>
          <w:rFonts w:ascii="Hanken Grotesk" w:hAnsi="Hanken Grotesk" w:cs="Hanken Grotesk" w:eastAsia="Hanken Grotesk"/>
          <w:b w:val="0"/>
          <w:i w:val="0"/>
          <w:color w:val="55606B"/>
          <w:sz w:val="17"/>
        </w:rPr>
        <w:t>Ethereum Magicians, "ERC-8004: Trustless Agents" (authors state the protocol does not cover payments). https://ethereum-magicians.org/t/erc-8004-trustless-agents/25098</w:t>
      </w:r>
    </w:p>
    <w:p>
      <w:pPr>
        <w:spacing w:after="60"/>
        <w:ind w:left="400" w:hanging="400"/>
      </w:pPr>
      <w:r>
        <w:rPr>
          <w:rFonts w:ascii="IBM Plex Mono" w:hAnsi="IBM Plex Mono" w:cs="IBM Plex Mono" w:eastAsia="IBM Plex Mono"/>
          <w:b/>
          <w:i w:val="0"/>
          <w:color w:val="9A7320"/>
          <w:sz w:val="17"/>
        </w:rPr>
        <w:t xml:space="preserve">6.  </w:t>
      </w:r>
      <w:r>
        <w:rPr>
          <w:rFonts w:ascii="Hanken Grotesk" w:hAnsi="Hanken Grotesk" w:cs="Hanken Grotesk" w:eastAsia="Hanken Grotesk"/>
          <w:b w:val="0"/>
          <w:i w:val="0"/>
          <w:color w:val="55606B"/>
          <w:sz w:val="17"/>
        </w:rPr>
        <w:t>Sumsub, "Know Your Agent" (KYA scoped to identity, authorization, and auditability, not underwriting/credit/custody), January 28, 2026. https://sumsub.com/blog/know-your-agent/</w:t>
      </w:r>
    </w:p>
    <w:p>
      <w:pPr>
        <w:spacing w:after="60"/>
        <w:ind w:left="400" w:hanging="400"/>
      </w:pPr>
      <w:r>
        <w:rPr>
          <w:rFonts w:ascii="IBM Plex Mono" w:hAnsi="IBM Plex Mono" w:cs="IBM Plex Mono" w:eastAsia="IBM Plex Mono"/>
          <w:b/>
          <w:i w:val="0"/>
          <w:color w:val="9A7320"/>
          <w:sz w:val="17"/>
        </w:rPr>
        <w:t xml:space="preserve">7.  </w:t>
      </w:r>
      <w:r>
        <w:rPr>
          <w:rFonts w:ascii="Hanken Grotesk" w:hAnsi="Hanken Grotesk" w:cs="Hanken Grotesk" w:eastAsia="Hanken Grotesk"/>
          <w:b w:val="0"/>
          <w:i w:val="0"/>
          <w:color w:val="55606B"/>
          <w:sz w:val="17"/>
        </w:rPr>
        <w:t>Visa Newsroom, Trusted Agent Protocol within Visa Intelligent Commerce, October 14, 2025. https://usa.visa.com/about-visa/newsroom/press-releases.releaseId.21361.html</w:t>
      </w:r>
    </w:p>
    <w:p>
      <w:pPr>
        <w:spacing w:after="60"/>
        <w:ind w:left="400" w:hanging="400"/>
      </w:pPr>
      <w:r>
        <w:rPr>
          <w:rFonts w:ascii="IBM Plex Mono" w:hAnsi="IBM Plex Mono" w:cs="IBM Plex Mono" w:eastAsia="IBM Plex Mono"/>
          <w:b/>
          <w:i w:val="0"/>
          <w:color w:val="9A7320"/>
          <w:sz w:val="17"/>
        </w:rPr>
        <w:t xml:space="preserve">8.  </w:t>
      </w:r>
      <w:r>
        <w:rPr>
          <w:rFonts w:ascii="Hanken Grotesk" w:hAnsi="Hanken Grotesk" w:cs="Hanken Grotesk" w:eastAsia="Hanken Grotesk"/>
          <w:b w:val="0"/>
          <w:i w:val="0"/>
          <w:color w:val="55606B"/>
          <w:sz w:val="17"/>
        </w:rPr>
        <w:t>South, Marro, Hardjono, Mahari, et al. (MIT Media Lab), "Authenticated Delegation and Authorized AI Agents," arXiv:2501.09674, January 16, 2025. https://arxiv.org/abs/2501.09674</w:t>
      </w:r>
    </w:p>
    <w:p>
      <w:pPr>
        <w:spacing w:after="60"/>
        <w:ind w:left="400" w:hanging="400"/>
      </w:pPr>
      <w:r>
        <w:rPr>
          <w:rFonts w:ascii="IBM Plex Mono" w:hAnsi="IBM Plex Mono" w:cs="IBM Plex Mono" w:eastAsia="IBM Plex Mono"/>
          <w:b/>
          <w:i w:val="0"/>
          <w:color w:val="9A7320"/>
          <w:sz w:val="17"/>
        </w:rPr>
        <w:t xml:space="preserve">9.  </w:t>
      </w:r>
      <w:r>
        <w:rPr>
          <w:rFonts w:ascii="Hanken Grotesk" w:hAnsi="Hanken Grotesk" w:cs="Hanken Grotesk" w:eastAsia="Hanken Grotesk"/>
          <w:b w:val="0"/>
          <w:i w:val="0"/>
          <w:color w:val="55606B"/>
          <w:sz w:val="17"/>
        </w:rPr>
        <w:t>McKinsey &amp; Company, "Agentic AI Will Shake Up Banking, Shrinking Global Profit Pools." https://www.mckinsey.com/industries/financial-services/our-insights/banking-matters/agentic-ai-will-shake-up-banking-shrinking-global-profit-pools</w:t>
      </w:r>
    </w:p>
    <w:p>
      <w:pPr>
        <w:spacing w:after="60"/>
        <w:ind w:left="400" w:hanging="400"/>
      </w:pPr>
      <w:r>
        <w:rPr>
          <w:rFonts w:ascii="IBM Plex Mono" w:hAnsi="IBM Plex Mono" w:cs="IBM Plex Mono" w:eastAsia="IBM Plex Mono"/>
          <w:b/>
          <w:i w:val="0"/>
          <w:color w:val="9A7320"/>
          <w:sz w:val="17"/>
        </w:rPr>
        <w:t xml:space="preserve">10.  </w:t>
      </w:r>
      <w:r>
        <w:rPr>
          <w:rFonts w:ascii="Hanken Grotesk" w:hAnsi="Hanken Grotesk" w:cs="Hanken Grotesk" w:eastAsia="Hanken Grotesk"/>
          <w:b w:val="0"/>
          <w:i w:val="0"/>
          <w:color w:val="55606B"/>
          <w:sz w:val="17"/>
        </w:rPr>
        <w:t>Citi GPS, "Agentic AI: Finance and the 'Do It For Me' Economy," January 17, 2025. https://www.citigroup.com/global/insights/agentic-ai</w:t>
      </w:r>
    </w:p>
    <w:p>
      <w:pPr>
        <w:spacing w:after="60"/>
        <w:ind w:left="400" w:hanging="400"/>
      </w:pPr>
      <w:r>
        <w:rPr>
          <w:rFonts w:ascii="IBM Plex Mono" w:hAnsi="IBM Plex Mono" w:cs="IBM Plex Mono" w:eastAsia="IBM Plex Mono"/>
          <w:b/>
          <w:i w:val="0"/>
          <w:color w:val="9A7320"/>
          <w:sz w:val="17"/>
        </w:rPr>
        <w:t xml:space="preserve">11.  </w:t>
      </w:r>
      <w:r>
        <w:rPr>
          <w:rFonts w:ascii="Hanken Grotesk" w:hAnsi="Hanken Grotesk" w:cs="Hanken Grotesk" w:eastAsia="Hanken Grotesk"/>
          <w:b w:val="0"/>
          <w:i w:val="0"/>
          <w:color w:val="55606B"/>
          <w:sz w:val="17"/>
        </w:rPr>
        <w:t>Gartner, "40% of Enterprise Apps Will Feature Task-Specific AI Agents by 2026," August 26, 2025. https://www.gartner.com/en/newsroom/press-releases/2025-08-26-gartner-predicts-40-percent-of-enterprise-apps-will-feature-task-specific-ai-agents-by-2026-up-from-less-than-5-percent-in-2025</w:t>
      </w:r>
    </w:p>
    <w:p>
      <w:pPr>
        <w:spacing w:after="60"/>
        <w:ind w:left="400" w:hanging="400"/>
      </w:pPr>
      <w:r>
        <w:rPr>
          <w:rFonts w:ascii="IBM Plex Mono" w:hAnsi="IBM Plex Mono" w:cs="IBM Plex Mono" w:eastAsia="IBM Plex Mono"/>
          <w:b/>
          <w:i w:val="0"/>
          <w:color w:val="9A7320"/>
          <w:sz w:val="17"/>
        </w:rPr>
        <w:t xml:space="preserve">12.  </w:t>
      </w:r>
      <w:r>
        <w:rPr>
          <w:rFonts w:ascii="Hanken Grotesk" w:hAnsi="Hanken Grotesk" w:cs="Hanken Grotesk" w:eastAsia="Hanken Grotesk"/>
          <w:b w:val="0"/>
          <w:i w:val="0"/>
          <w:color w:val="55606B"/>
          <w:sz w:val="17"/>
        </w:rPr>
        <w:t>Gartner, "Over 40% of Agentic AI Projects Will Be Canceled by End of 2027," June 25, 2025. https://www.gartner.com/en/newsroom/press-releases/2025-06-25-gartner-predicts-over-40-percent-of-agentic-ai-projects-will-be-canceled-by-end-of-2027</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tcW w:w="9360" w:type="dxa"/>
            <w:shd w:val="clear" w:color="auto" w:fill="0A1726"/>
            <w:tcMar>
              <w:top w:w="420" w:type="dxa"/>
              <w:bottom w:w="420" w:type="dxa"/>
              <w:left w:w="300" w:type="dxa"/>
              <w:right w:w="300" w:type="dxa"/>
            </w:tcMar>
          </w:tcPr>
          <w:p>
            <w:pPr>
              <w:spacing w:lineRule="auto" w:after="200" w:line="240"/>
            </w:pPr>
            <w:r>
              <w:rPr>
                <w:rFonts w:ascii="IBM Plex Mono" w:hAnsi="IBM Plex Mono" w:cs="IBM Plex Mono" w:eastAsia="IBM Plex Mono"/>
                <w:b w:val="0"/>
                <w:i w:val="0"/>
                <w:color w:val="D8A94A"/>
                <w:sz w:val="18"/>
                <w:spacing w:val="40"/>
              </w:rPr>
              <w:t>PAPER 02  ·  PILLAR 2, STABLECOINS</w:t>
            </w:r>
          </w:p>
          <w:p>
            <w:pPr>
              <w:spacing w:lineRule="auto" w:after="120" w:line="250"/>
            </w:pPr>
            <w:r>
              <w:rPr>
                <w:rFonts w:ascii="Fraunces" w:hAnsi="Fraunces" w:cs="Fraunces" w:eastAsia="Fraunces"/>
                <w:b/>
                <w:i w:val="0"/>
                <w:color w:val="F2ECDF"/>
                <w:sz w:val="48"/>
              </w:rPr>
              <w:t>The Issuer War Is the Wrong War</w:t>
            </w:r>
          </w:p>
          <w:p>
            <w:pPr>
              <w:spacing w:lineRule="auto" w:before="40" w:after="200"/>
              <w:pBdr>
                <w:bottom w:val="single" w:sz="8" w:space="1" w:color="D8A94A"/>
              </w:pBdr>
            </w:pPr>
            <w:r>
              <w:rPr>
                <w:rFonts w:ascii="Hanken Grotesk" w:hAnsi="Hanken Grotesk" w:cs="Hanken Grotesk" w:eastAsia="Hanken Grotesk"/>
                <w:b w:val="0"/>
                <w:i w:val="0"/>
                <w:color w:val="D8A94A"/>
                <w:sz w:val="4"/>
              </w:rPr>
            </w:r>
          </w:p>
          <w:p>
            <w:pPr>
              <w:spacing w:lineRule="auto" w:after="240" w:line="288"/>
            </w:pPr>
            <w:r>
              <w:rPr>
                <w:rFonts w:ascii="Fraunces" w:hAnsi="Fraunces" w:cs="Fraunces" w:eastAsia="Fraunces"/>
                <w:b w:val="0"/>
                <w:i/>
                <w:color w:val="DEE5EE"/>
                <w:sz w:val="28"/>
              </w:rPr>
              <w:t>The case for neutral, regulated settlement</w:t>
            </w:r>
          </w:p>
          <w:p>
            <w:pPr>
              <w:spacing w:lineRule="auto" w:before="120" w:after="80" w:line="312"/>
            </w:pPr>
            <w:r>
              <w:rPr>
                <w:rFonts w:ascii="Fraunces" w:hAnsi="Fraunces" w:cs="Fraunces" w:eastAsia="Fraunces"/>
                <w:b w:val="0"/>
                <w:i/>
                <w:color w:val="EAC36B"/>
                <w:sz w:val="24"/>
              </w:rPr>
              <w:t>The institutions that matter are not choosing a brand. They are choosing a settlement layer. Neutrality is the institutional product.</w:t>
            </w:r>
          </w:p>
        </w:tc>
      </w:tr>
    </w:tbl>
    <w:p>
      <w:pPr>
        <w:spacing w:after="120" w:before="0"/>
      </w:pPr>
    </w:p>
    <w:p>
      <w:pPr>
        <w:keepNext/>
        <w:spacing w:before="320" w:after="120"/>
        <w:pBdr>
          <w:bottom w:val="single" w:sz="4" w:space="4" w:color="D8A94A"/>
        </w:pBdr>
      </w:pPr>
      <w:r>
        <w:rPr>
          <w:rFonts w:ascii="Fraunces" w:hAnsi="Fraunces" w:cs="Fraunces" w:eastAsia="Fraunces"/>
          <w:b/>
          <w:i w:val="0"/>
          <w:color w:val="D8A94A"/>
          <w:sz w:val="32"/>
        </w:rPr>
        <w:t>Executive summary</w:t>
      </w:r>
    </w:p>
    <w:p>
      <w:pPr>
        <w:spacing w:after="160"/>
      </w:pPr>
      <w:r>
        <w:rPr>
          <w:rFonts w:ascii="Hanken Grotesk" w:hAnsi="Hanken Grotesk" w:cs="Hanken Grotesk" w:eastAsia="Hanken Grotesk"/>
          <w:b w:val="0"/>
          <w:i w:val="0"/>
          <w:color w:val="16202B"/>
          <w:sz w:val="21"/>
        </w:rPr>
        <w:t>The popular framing of the stablecoin market is a contest between issuers: Tether against Circle, the incumbent against the challenger, with market-cap share as the scoreboard. That framing is a distraction. The institutions adopting stablecoins are not picking a favorite token. They are adopting a settlement rail, and what they want from a rail is neutrality, regulatory standing, and the ability to move dollars at any hour. The winner of the issuer war is not the question that decides the market. The question is who provides the regulated, neutral infrastructure underneath all of them.</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Stablecoins crossed from speculative instrument to settlement infrastructure in 2025 and 2026. The institutional decision is not which issuer to back; it is which regulated settlement layer to build on.</w:t>
      </w:r>
    </w:p>
    <w:p>
      <w:pPr>
        <w:keepNext/>
        <w:spacing w:before="320" w:after="120"/>
        <w:pBdr>
          <w:bottom w:val="single" w:sz="4" w:space="4" w:color="D8A94A"/>
        </w:pBdr>
      </w:pPr>
      <w:r>
        <w:rPr>
          <w:rFonts w:ascii="Fraunces" w:hAnsi="Fraunces" w:cs="Fraunces" w:eastAsia="Fraunces"/>
          <w:b/>
          <w:i w:val="0"/>
          <w:color w:val="D8A94A"/>
          <w:sz w:val="32"/>
        </w:rPr>
        <w:t>1. Stablecoins are now settlement infrastructure</w:t>
      </w:r>
    </w:p>
    <w:p>
      <w:pPr>
        <w:spacing w:after="160"/>
      </w:pPr>
      <w:r>
        <w:rPr>
          <w:rFonts w:ascii="Hanken Grotesk" w:hAnsi="Hanken Grotesk" w:cs="Hanken Grotesk" w:eastAsia="Hanken Grotesk"/>
          <w:b w:val="0"/>
          <w:i w:val="0"/>
          <w:color w:val="16202B"/>
          <w:sz w:val="21"/>
        </w:rPr>
        <w:t>The volume tells the story. Chainalysis estimated $28 trillion in real, adjusted stablecoin economic volume in 2025, growing at a 133% annual rate since 2023. [1] Circle reported USDC on-chain transaction volume of $21.5 trillion in the first quarter of 2026 alone, up 263% year over year, with circulation up 28% to $77 billion. [2] a16z described 2025 as "the year the world came onchain," with stablecoins rivaling the major card networks by volume. [3]</w:t>
      </w:r>
    </w:p>
    <w:p>
      <w:pPr>
        <w:spacing w:after="160"/>
      </w:pPr>
      <w:r>
        <w:rPr>
          <w:rFonts w:ascii="Hanken Grotesk" w:hAnsi="Hanken Grotesk" w:cs="Hanken Grotesk" w:eastAsia="Hanken Grotesk"/>
          <w:b w:val="0"/>
          <w:i w:val="0"/>
          <w:color w:val="16202B"/>
          <w:sz w:val="21"/>
        </w:rPr>
        <w:t>The use cases are now concrete and institutional. Western Union launched USDPT, a federally regulated dollar stablecoin issued by Anchorage Digital Bank on Solana, as a 24/7 settlement alternative to SWIFT across its network of more than 550,000 agent locations. [4] State Street and Galaxy launched a tokenized liquidity fund that settles in PayPal's stablecoin. [5] Visa and Mastercard route and settle in stablecoins directly. [6] This is treasury and payments infrastructure, not a trading chip.</w:t>
      </w:r>
    </w:p>
    <w:p>
      <w:pPr>
        <w:keepNext/>
        <w:spacing w:before="320" w:after="120"/>
        <w:pBdr>
          <w:bottom w:val="single" w:sz="4" w:space="4" w:color="D8A94A"/>
        </w:pBdr>
      </w:pPr>
      <w:r>
        <w:rPr>
          <w:rFonts w:ascii="Fraunces" w:hAnsi="Fraunces" w:cs="Fraunces" w:eastAsia="Fraunces"/>
          <w:b/>
          <w:i w:val="0"/>
          <w:color w:val="D8A94A"/>
          <w:sz w:val="32"/>
        </w:rPr>
        <w:t>2. The market is concentrated, but the institutional question is neutrality</w:t>
      </w:r>
    </w:p>
    <w:p>
      <w:pPr>
        <w:spacing w:after="160"/>
      </w:pPr>
      <w:r>
        <w:rPr>
          <w:rFonts w:ascii="Hanken Grotesk" w:hAnsi="Hanken Grotesk" w:cs="Hanken Grotesk" w:eastAsia="Hanken Grotesk"/>
          <w:b w:val="0"/>
          <w:i w:val="0"/>
          <w:color w:val="16202B"/>
          <w:sz w:val="21"/>
        </w:rPr>
        <w:t>Concentration is real. Tether's USDT held roughly $188 billion and about 59% of stablecoin supply, with USDC the clear second near $76 billion, so the two together account for roughly 82% of the market, not the 93% figure that circulates in secondary summaries. [7] USDC's transaction volume is now gaining on, and by some measures passing, USDT's. [2]</w:t>
      </w:r>
    </w:p>
    <w:p>
      <w:pPr>
        <w:spacing w:after="160"/>
      </w:pPr>
      <w:r>
        <w:rPr>
          <w:rFonts w:ascii="Hanken Grotesk" w:hAnsi="Hanken Grotesk" w:cs="Hanken Grotesk" w:eastAsia="Hanken Grotesk"/>
          <w:b w:val="0"/>
          <w:i w:val="0"/>
          <w:color w:val="16202B"/>
          <w:sz w:val="21"/>
        </w:rPr>
        <w:t>But for an institution, the share contest is the wrong lens. A bank settling client flows, a fund moving subscriptions and redemptions, a payments company bridging currencies, none of these wants to bet its rail on the outcome of a branding war. It wants a settlement layer it can use regardless of which token is on top, backed by reserves it can verify, under a regulator it recognizes. That is the institutional product: neutral, regulated settlement. Nathan McCauley's stated view is that increasing neutrality, rather than pushing any single house stablecoin, is the position that serves an institution best.</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Market-cap share answers a question institutions are not asking. They are not buying a token; they are buying settlement. The durable institutional position is neutral and regulated, not brand-committed.</w:t>
      </w:r>
    </w:p>
    <w:p>
      <w:pPr>
        <w:keepNext/>
        <w:spacing w:before="320" w:after="120"/>
        <w:pBdr>
          <w:bottom w:val="single" w:sz="4" w:space="4" w:color="D8A94A"/>
        </w:pBdr>
      </w:pPr>
      <w:r>
        <w:rPr>
          <w:rFonts w:ascii="Fraunces" w:hAnsi="Fraunces" w:cs="Fraunces" w:eastAsia="Fraunces"/>
          <w:b/>
          <w:i w:val="0"/>
          <w:color w:val="D8A94A"/>
          <w:sz w:val="32"/>
        </w:rPr>
        <w:t>3. Regulation made the rail real</w:t>
      </w:r>
    </w:p>
    <w:p>
      <w:pPr>
        <w:spacing w:after="160"/>
      </w:pPr>
      <w:r>
        <w:rPr>
          <w:rFonts w:ascii="Hanken Grotesk" w:hAnsi="Hanken Grotesk" w:cs="Hanken Grotesk" w:eastAsia="Hanken Grotesk"/>
          <w:b w:val="0"/>
          <w:i w:val="0"/>
          <w:color w:val="16202B"/>
          <w:sz w:val="21"/>
        </w:rPr>
        <w:t>The neutrality thesis only works because the rail is now regulated. The GENIUS Act, the first US federal framework for payment stablecoins, was signed into law in July 2025, requiring full reserve backing in cash and short-term Treasuries, monthly public reserve disclosures, and issuance limited to regulated entities. [8] The OCC issued its implementing proposed rule in February 2026. [9] Reserve custody is itself professionalizing: U.S. Bank, a custodian with more than $11.7 trillion in assets under custody and administration, was selected to hold the reserves backing Anchorage's payment stablecoins. [10] BlackRock's 2026 outlook reframed stablecoins as financial-system infrastructure, "the bridge between traditional finance and digital liquidity," in the words of its global head of market development. [11]</w:t>
      </w:r>
    </w:p>
    <w:p>
      <w:pPr>
        <w:spacing w:after="160"/>
      </w:pPr>
      <w:r>
        <w:rPr>
          <w:rFonts w:ascii="Hanken Grotesk" w:hAnsi="Hanken Grotesk" w:cs="Hanken Grotesk" w:eastAsia="Hanken Grotesk"/>
          <w:b w:val="0"/>
          <w:i w:val="0"/>
          <w:color w:val="16202B"/>
          <w:sz w:val="21"/>
        </w:rPr>
        <w:t>A note on attribution. Anchorage describes itself as the first federally chartered stablecoin issuer under the GENIUS Act and markets USDtb as America's first federally regulated stablecoin. [12] Those are Anchorage's own characterizations, presented as such.</w:t>
      </w:r>
    </w:p>
    <w:p>
      <w:pPr>
        <w:keepNext/>
        <w:spacing w:before="320" w:after="120"/>
        <w:pBdr>
          <w:bottom w:val="single" w:sz="4" w:space="4" w:color="D8A94A"/>
        </w:pBdr>
      </w:pPr>
      <w:r>
        <w:rPr>
          <w:rFonts w:ascii="Fraunces" w:hAnsi="Fraunces" w:cs="Fraunces" w:eastAsia="Fraunces"/>
          <w:b/>
          <w:i w:val="0"/>
          <w:color w:val="D8A94A"/>
          <w:sz w:val="32"/>
        </w:rPr>
        <w:t>4. The position: be the neutral, regulated layer</w:t>
      </w:r>
    </w:p>
    <w:p>
      <w:pPr>
        <w:spacing w:after="160"/>
      </w:pPr>
      <w:r>
        <w:rPr>
          <w:rFonts w:ascii="Hanken Grotesk" w:hAnsi="Hanken Grotesk" w:cs="Hanken Grotesk" w:eastAsia="Hanken Grotesk"/>
          <w:b w:val="0"/>
          <w:i w:val="0"/>
          <w:color w:val="16202B"/>
          <w:sz w:val="21"/>
        </w:rPr>
        <w:t>The strategic conclusion is to stop fighting the issuer war and provide the ground it is fought on. A federally chartered trust bank can issue, custody reserves for, and settle multiple stablecoins on a neutral, regulated basis. That is more valuable, and more durable, than betting the franchise on one token's market share. As agents begin to pay agents, the demand for a neutral, regulated, always-on dollar will only grow, because an autonomous payment system cannot be tied to the commercial fortunes of a single issuer. The right product is the settlement layer. The right posture is neutral. The right operator is a bank.</w:t>
      </w:r>
    </w:p>
    <w:p>
      <w:pPr>
        <w:keepNext/>
        <w:spacing w:before="320" w:after="120"/>
        <w:pBdr>
          <w:bottom w:val="single" w:sz="4" w:space="4" w:color="D8A94A"/>
        </w:pBdr>
      </w:pPr>
      <w:r>
        <w:rPr>
          <w:rFonts w:ascii="Fraunces" w:hAnsi="Fraunces" w:cs="Fraunces" w:eastAsia="Fraunces"/>
          <w:b/>
          <w:i w:val="0"/>
          <w:color w:val="D8A94A"/>
          <w:sz w:val="32"/>
        </w:rPr>
        <w:t>Sources</w:t>
      </w:r>
    </w:p>
    <w:p>
      <w:pPr>
        <w:spacing w:after="60"/>
        <w:ind w:left="400" w:hanging="400"/>
      </w:pPr>
      <w:r>
        <w:rPr>
          <w:rFonts w:ascii="IBM Plex Mono" w:hAnsi="IBM Plex Mono" w:cs="IBM Plex Mono" w:eastAsia="IBM Plex Mono"/>
          <w:b/>
          <w:i w:val="0"/>
          <w:color w:val="9A7320"/>
          <w:sz w:val="17"/>
        </w:rPr>
        <w:t xml:space="preserve">1.  </w:t>
      </w:r>
      <w:r>
        <w:rPr>
          <w:rFonts w:ascii="Hanken Grotesk" w:hAnsi="Hanken Grotesk" w:cs="Hanken Grotesk" w:eastAsia="Hanken Grotesk"/>
          <w:b w:val="0"/>
          <w:i w:val="0"/>
          <w:color w:val="55606B"/>
          <w:sz w:val="17"/>
        </w:rPr>
        <w:t>Chainalysis, "Stablecoin Utility and the Future of Payments" ($28T adjusted volume, 2025), April 8, 2026. https://www.chainalysis.com/blog/stablecoin-utility-future-of-payments/</w:t>
      </w:r>
    </w:p>
    <w:p>
      <w:pPr>
        <w:spacing w:after="60"/>
        <w:ind w:left="400" w:hanging="400"/>
      </w:pPr>
      <w:r>
        <w:rPr>
          <w:rFonts w:ascii="IBM Plex Mono" w:hAnsi="IBM Plex Mono" w:cs="IBM Plex Mono" w:eastAsia="IBM Plex Mono"/>
          <w:b/>
          <w:i w:val="0"/>
          <w:color w:val="9A7320"/>
          <w:sz w:val="17"/>
        </w:rPr>
        <w:t xml:space="preserve">2.  </w:t>
      </w:r>
      <w:r>
        <w:rPr>
          <w:rFonts w:ascii="Hanken Grotesk" w:hAnsi="Hanken Grotesk" w:cs="Hanken Grotesk" w:eastAsia="Hanken Grotesk"/>
          <w:b w:val="0"/>
          <w:i w:val="0"/>
          <w:color w:val="55606B"/>
          <w:sz w:val="17"/>
        </w:rPr>
        <w:t>Circle Internet Group, Q1 2026 Results (USDC $77B in circulation, +28%; $21.5T on-chain volume, +263%), May 11, 2026. https://www.circle.com/pressroom/circle-reports-first-quarter-2026-results</w:t>
      </w:r>
    </w:p>
    <w:p>
      <w:pPr>
        <w:spacing w:after="60"/>
        <w:ind w:left="400" w:hanging="400"/>
      </w:pPr>
      <w:r>
        <w:rPr>
          <w:rFonts w:ascii="IBM Plex Mono" w:hAnsi="IBM Plex Mono" w:cs="IBM Plex Mono" w:eastAsia="IBM Plex Mono"/>
          <w:b/>
          <w:i w:val="0"/>
          <w:color w:val="9A7320"/>
          <w:sz w:val="17"/>
        </w:rPr>
        <w:t xml:space="preserve">3.  </w:t>
      </w:r>
      <w:r>
        <w:rPr>
          <w:rFonts w:ascii="Hanken Grotesk" w:hAnsi="Hanken Grotesk" w:cs="Hanken Grotesk" w:eastAsia="Hanken Grotesk"/>
          <w:b w:val="0"/>
          <w:i w:val="0"/>
          <w:color w:val="55606B"/>
          <w:sz w:val="17"/>
        </w:rPr>
        <w:t>a16z crypto, "State of Crypto 2025." https://a16zcrypto.com/posts/article/state-of-crypto-report-2025/</w:t>
      </w:r>
    </w:p>
    <w:p>
      <w:pPr>
        <w:spacing w:after="60"/>
        <w:ind w:left="400" w:hanging="400"/>
      </w:pPr>
      <w:r>
        <w:rPr>
          <w:rFonts w:ascii="IBM Plex Mono" w:hAnsi="IBM Plex Mono" w:cs="IBM Plex Mono" w:eastAsia="IBM Plex Mono"/>
          <w:b/>
          <w:i w:val="0"/>
          <w:color w:val="9A7320"/>
          <w:sz w:val="17"/>
        </w:rPr>
        <w:t xml:space="preserve">4.  </w:t>
      </w:r>
      <w:r>
        <w:rPr>
          <w:rFonts w:ascii="Hanken Grotesk" w:hAnsi="Hanken Grotesk" w:cs="Hanken Grotesk" w:eastAsia="Hanken Grotesk"/>
          <w:b w:val="0"/>
          <w:i w:val="0"/>
          <w:color w:val="55606B"/>
          <w:sz w:val="17"/>
        </w:rPr>
        <w:t>Anchorage Digital, "Western Union Launches USDPT, a Federally Regulated Digital Dollar" (issued by Anchorage Digital Bank), May 4, 2026. https://www.anchorage.com/insights/western-union-launches-usdpt-a-federally-regulated-digital-dollar</w:t>
      </w:r>
    </w:p>
    <w:p>
      <w:pPr>
        <w:spacing w:after="60"/>
        <w:ind w:left="400" w:hanging="400"/>
      </w:pPr>
      <w:r>
        <w:rPr>
          <w:rFonts w:ascii="IBM Plex Mono" w:hAnsi="IBM Plex Mono" w:cs="IBM Plex Mono" w:eastAsia="IBM Plex Mono"/>
          <w:b/>
          <w:i w:val="0"/>
          <w:color w:val="9A7320"/>
          <w:sz w:val="17"/>
        </w:rPr>
        <w:t xml:space="preserve">5.  </w:t>
      </w:r>
      <w:r>
        <w:rPr>
          <w:rFonts w:ascii="Hanken Grotesk" w:hAnsi="Hanken Grotesk" w:cs="Hanken Grotesk" w:eastAsia="Hanken Grotesk"/>
          <w:b w:val="0"/>
          <w:i w:val="0"/>
          <w:color w:val="55606B"/>
          <w:sz w:val="17"/>
        </w:rPr>
        <w:t>State Street Investment Management, with Galaxy Digital and Ondo, tokenized liquidity fund settling in PYUSD, May 5, 2026. https://investors.statestreet.com/investor-news-events/press-releases/news-details/2025/State-Street-Investment-Management-and-Galaxy-Digital-Partner-to-Tokenize-Private-Liquidity-Fund-With-Planned-Seed-Investment-from-Ondo/default.aspx</w:t>
      </w:r>
    </w:p>
    <w:p>
      <w:pPr>
        <w:spacing w:after="60"/>
        <w:ind w:left="400" w:hanging="400"/>
      </w:pPr>
      <w:r>
        <w:rPr>
          <w:rFonts w:ascii="IBM Plex Mono" w:hAnsi="IBM Plex Mono" w:cs="IBM Plex Mono" w:eastAsia="IBM Plex Mono"/>
          <w:b/>
          <w:i w:val="0"/>
          <w:color w:val="9A7320"/>
          <w:sz w:val="17"/>
        </w:rPr>
        <w:t xml:space="preserve">6.  </w:t>
      </w:r>
      <w:r>
        <w:rPr>
          <w:rFonts w:ascii="Hanken Grotesk" w:hAnsi="Hanken Grotesk" w:cs="Hanken Grotesk" w:eastAsia="Hanken Grotesk"/>
          <w:b w:val="0"/>
          <w:i w:val="0"/>
          <w:color w:val="55606B"/>
          <w:sz w:val="17"/>
        </w:rPr>
        <w:t>crypto.news, on Visa and Mastercard stablecoin settlement (secondary; figures attributed). https://crypto.news/stablecoins-now-move-more-money-than-visa-and-mastercard-combined/</w:t>
      </w:r>
    </w:p>
    <w:p>
      <w:pPr>
        <w:spacing w:after="60"/>
        <w:ind w:left="400" w:hanging="400"/>
      </w:pPr>
      <w:r>
        <w:rPr>
          <w:rFonts w:ascii="IBM Plex Mono" w:hAnsi="IBM Plex Mono" w:cs="IBM Plex Mono" w:eastAsia="IBM Plex Mono"/>
          <w:b/>
          <w:i w:val="0"/>
          <w:color w:val="9A7320"/>
          <w:sz w:val="17"/>
        </w:rPr>
        <w:t xml:space="preserve">7.  </w:t>
      </w:r>
      <w:r>
        <w:rPr>
          <w:rFonts w:ascii="Hanken Grotesk" w:hAnsi="Hanken Grotesk" w:cs="Hanken Grotesk" w:eastAsia="Hanken Grotesk"/>
          <w:b w:val="0"/>
          <w:i w:val="0"/>
          <w:color w:val="55606B"/>
          <w:sz w:val="17"/>
        </w:rPr>
        <w:t>CoinGecko, Tether and USDC market data; combined share reconciled against total stablecoin cap (~82%, not 93%), June 3, 2026. https://www.coingecko.com/en/coins/tether</w:t>
      </w:r>
    </w:p>
    <w:p>
      <w:pPr>
        <w:spacing w:after="60"/>
        <w:ind w:left="400" w:hanging="400"/>
      </w:pPr>
      <w:r>
        <w:rPr>
          <w:rFonts w:ascii="IBM Plex Mono" w:hAnsi="IBM Plex Mono" w:cs="IBM Plex Mono" w:eastAsia="IBM Plex Mono"/>
          <w:b/>
          <w:i w:val="0"/>
          <w:color w:val="9A7320"/>
          <w:sz w:val="17"/>
        </w:rPr>
        <w:t xml:space="preserve">8.  </w:t>
      </w:r>
      <w:r>
        <w:rPr>
          <w:rFonts w:ascii="Hanken Grotesk" w:hAnsi="Hanken Grotesk" w:cs="Hanken Grotesk" w:eastAsia="Hanken Grotesk"/>
          <w:b w:val="0"/>
          <w:i w:val="0"/>
          <w:color w:val="55606B"/>
          <w:sz w:val="17"/>
        </w:rPr>
        <w:t>Congress.gov / GPO, GENIUS Act enrolled law, Public Law 119-27, signed July 18, 2025. https://www.congress.gov/119/plaws/publ27/PLAW-119publ27.pdf</w:t>
      </w:r>
    </w:p>
    <w:p>
      <w:pPr>
        <w:spacing w:after="60"/>
        <w:ind w:left="400" w:hanging="400"/>
      </w:pPr>
      <w:r>
        <w:rPr>
          <w:rFonts w:ascii="IBM Plex Mono" w:hAnsi="IBM Plex Mono" w:cs="IBM Plex Mono" w:eastAsia="IBM Plex Mono"/>
          <w:b/>
          <w:i w:val="0"/>
          <w:color w:val="9A7320"/>
          <w:sz w:val="17"/>
        </w:rPr>
        <w:t xml:space="preserve">9.  </w:t>
      </w:r>
      <w:r>
        <w:rPr>
          <w:rFonts w:ascii="Hanken Grotesk" w:hAnsi="Hanken Grotesk" w:cs="Hanken Grotesk" w:eastAsia="Hanken Grotesk"/>
          <w:b w:val="0"/>
          <w:i w:val="0"/>
          <w:color w:val="55606B"/>
          <w:sz w:val="17"/>
        </w:rPr>
        <w:t>OCC Bulletin 2026-3, GENIUS Act NPRM, February 25, 2026. https://occ.treas.gov/news-issuances/bulletins/2026/bulletin-2026-3.html</w:t>
      </w:r>
    </w:p>
    <w:p>
      <w:pPr>
        <w:spacing w:after="60"/>
        <w:ind w:left="400" w:hanging="400"/>
      </w:pPr>
      <w:r>
        <w:rPr>
          <w:rFonts w:ascii="IBM Plex Mono" w:hAnsi="IBM Plex Mono" w:cs="IBM Plex Mono" w:eastAsia="IBM Plex Mono"/>
          <w:b/>
          <w:i w:val="0"/>
          <w:color w:val="9A7320"/>
          <w:sz w:val="17"/>
        </w:rPr>
        <w:t xml:space="preserve">10.  </w:t>
      </w:r>
      <w:r>
        <w:rPr>
          <w:rFonts w:ascii="Hanken Grotesk" w:hAnsi="Hanken Grotesk" w:cs="Hanken Grotesk" w:eastAsia="Hanken Grotesk"/>
          <w:b w:val="0"/>
          <w:i w:val="0"/>
          <w:color w:val="55606B"/>
          <w:sz w:val="17"/>
        </w:rPr>
        <w:t>U.S. Bancorp Investor Relations, custody for reserves backing Anchorage Digital Bank payment stablecoins, October 8, 2025. https://ir.usbank.com/news-events/news/news-details/2025/U-S--Bank-selected-to-provide-custody-services-for-reserves-backing-payment-stablecoins-from-Anchorage-Digital-Bank/default.aspx</w:t>
      </w:r>
    </w:p>
    <w:p>
      <w:pPr>
        <w:spacing w:after="60"/>
        <w:ind w:left="400" w:hanging="400"/>
      </w:pPr>
      <w:r>
        <w:rPr>
          <w:rFonts w:ascii="IBM Plex Mono" w:hAnsi="IBM Plex Mono" w:cs="IBM Plex Mono" w:eastAsia="IBM Plex Mono"/>
          <w:b/>
          <w:i w:val="0"/>
          <w:color w:val="9A7320"/>
          <w:sz w:val="17"/>
        </w:rPr>
        <w:t xml:space="preserve">11.  </w:t>
      </w:r>
      <w:r>
        <w:rPr>
          <w:rFonts w:ascii="Hanken Grotesk" w:hAnsi="Hanken Grotesk" w:cs="Hanken Grotesk" w:eastAsia="Hanken Grotesk"/>
          <w:b w:val="0"/>
          <w:i w:val="0"/>
          <w:color w:val="55606B"/>
          <w:sz w:val="17"/>
        </w:rPr>
        <w:t>CoinDesk, on the BlackRock Investment Institute 2026 Outlook (Samara Cohen on stablecoins as the bridge), December 3, 2025. https://www.coindesk.com/business/2025/12/03/u-s-debt-growth-will-drive-crypto-s-gains-blackrock-says-in-report-on-ai</w:t>
      </w:r>
    </w:p>
    <w:p>
      <w:pPr>
        <w:spacing w:after="60"/>
        <w:ind w:left="400" w:hanging="400"/>
      </w:pPr>
      <w:r>
        <w:rPr>
          <w:rFonts w:ascii="IBM Plex Mono" w:hAnsi="IBM Plex Mono" w:cs="IBM Plex Mono" w:eastAsia="IBM Plex Mono"/>
          <w:b/>
          <w:i w:val="0"/>
          <w:color w:val="9A7320"/>
          <w:sz w:val="17"/>
        </w:rPr>
        <w:t xml:space="preserve">12.  </w:t>
      </w:r>
      <w:r>
        <w:rPr>
          <w:rFonts w:ascii="Hanken Grotesk" w:hAnsi="Hanken Grotesk" w:cs="Hanken Grotesk" w:eastAsia="Hanken Grotesk"/>
          <w:b w:val="0"/>
          <w:i w:val="0"/>
          <w:color w:val="55606B"/>
          <w:sz w:val="17"/>
        </w:rPr>
        <w:t>Anchorage Digital, "Anchorage Digital Issues USDtb, America's First Federally Regulated Stablecoin" (Anchorage's own characterization), October 14, 2025. https://www.anchorage.com/insights/anchorage-digital-issues-usdtb-americas-first-federally-regulated-stablecoin</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tcW w:w="9360" w:type="dxa"/>
            <w:shd w:val="clear" w:color="auto" w:fill="0A1726"/>
            <w:tcMar>
              <w:top w:w="420" w:type="dxa"/>
              <w:bottom w:w="420" w:type="dxa"/>
              <w:left w:w="300" w:type="dxa"/>
              <w:right w:w="300" w:type="dxa"/>
            </w:tcMar>
          </w:tcPr>
          <w:p>
            <w:pPr>
              <w:spacing w:lineRule="auto" w:after="200" w:line="240"/>
            </w:pPr>
            <w:r>
              <w:rPr>
                <w:rFonts w:ascii="IBM Plex Mono" w:hAnsi="IBM Plex Mono" w:cs="IBM Plex Mono" w:eastAsia="IBM Plex Mono"/>
                <w:b w:val="0"/>
                <w:i w:val="0"/>
                <w:color w:val="D8A94A"/>
                <w:sz w:val="18"/>
                <w:spacing w:val="40"/>
              </w:rPr>
              <w:t>PAPER 03  ·  PILLAR 3, CAPITAL MARKETS (ATLAS)</w:t>
            </w:r>
          </w:p>
          <w:p>
            <w:pPr>
              <w:spacing w:lineRule="auto" w:after="120" w:line="250"/>
            </w:pPr>
            <w:r>
              <w:rPr>
                <w:rFonts w:ascii="Fraunces" w:hAnsi="Fraunces" w:cs="Fraunces" w:eastAsia="Fraunces"/>
                <w:b/>
                <w:i w:val="0"/>
                <w:color w:val="F2ECDF"/>
                <w:sz w:val="48"/>
              </w:rPr>
              <w:t>The 101% Problem</w:t>
            </w:r>
          </w:p>
          <w:p>
            <w:pPr>
              <w:spacing w:lineRule="auto" w:before="40" w:after="200"/>
              <w:pBdr>
                <w:bottom w:val="single" w:sz="8" w:space="1" w:color="D8A94A"/>
              </w:pBdr>
            </w:pPr>
            <w:r>
              <w:rPr>
                <w:rFonts w:ascii="Hanken Grotesk" w:hAnsi="Hanken Grotesk" w:cs="Hanken Grotesk" w:eastAsia="Hanken Grotesk"/>
                <w:b w:val="0"/>
                <w:i w:val="0"/>
                <w:color w:val="D8A94A"/>
                <w:sz w:val="4"/>
              </w:rPr>
            </w:r>
          </w:p>
          <w:p>
            <w:pPr>
              <w:spacing w:lineRule="auto" w:after="240" w:line="288"/>
            </w:pPr>
            <w:r>
              <w:rPr>
                <w:rFonts w:ascii="Fraunces" w:hAnsi="Fraunces" w:cs="Fraunces" w:eastAsia="Fraunces"/>
                <w:b w:val="0"/>
                <w:i/>
                <w:color w:val="DEE5EE"/>
                <w:sz w:val="28"/>
              </w:rPr>
              <w:t>Tokenization is inevitable. Its business model is not.</w:t>
            </w:r>
          </w:p>
          <w:p>
            <w:pPr>
              <w:spacing w:lineRule="auto" w:before="120" w:after="80" w:line="312"/>
            </w:pPr>
            <w:r>
              <w:rPr>
                <w:rFonts w:ascii="Fraunces" w:hAnsi="Fraunces" w:cs="Fraunces" w:eastAsia="Fraunces"/>
                <w:b w:val="0"/>
                <w:i/>
                <w:color w:val="EAC36B"/>
                <w:sz w:val="24"/>
              </w:rPr>
              <w:t>Until the old system is switched off, issuers pay for both. The cost is not 1%. It is 101%. That gap is what holds tokenization back.</w:t>
            </w:r>
          </w:p>
        </w:tc>
      </w:tr>
    </w:tbl>
    <w:p>
      <w:pPr>
        <w:spacing w:after="120" w:before="0"/>
      </w:pPr>
    </w:p>
    <w:p>
      <w:pPr>
        <w:keepNext/>
        <w:spacing w:before="320" w:after="120"/>
        <w:pBdr>
          <w:bottom w:val="single" w:sz="4" w:space="4" w:color="D8A94A"/>
        </w:pBdr>
      </w:pPr>
      <w:r>
        <w:rPr>
          <w:rFonts w:ascii="Fraunces" w:hAnsi="Fraunces" w:cs="Fraunces" w:eastAsia="Fraunces"/>
          <w:b/>
          <w:i w:val="0"/>
          <w:color w:val="D8A94A"/>
          <w:sz w:val="32"/>
        </w:rPr>
        <w:t>Executive summary</w:t>
      </w:r>
    </w:p>
    <w:p>
      <w:pPr>
        <w:spacing w:after="160"/>
      </w:pPr>
      <w:r>
        <w:rPr>
          <w:rFonts w:ascii="Hanken Grotesk" w:hAnsi="Hanken Grotesk" w:cs="Hanken Grotesk" w:eastAsia="Hanken Grotesk"/>
          <w:b w:val="0"/>
          <w:i w:val="0"/>
          <w:color w:val="16202B"/>
          <w:sz w:val="21"/>
        </w:rPr>
        <w:t>Tokenization is the most over-forecast and under-realized idea in capital markets. The direction is not in doubt: moving assets onto programmable rails is cheaper, faster, and available around the clock. The problem is the transition. As long as the existing settlement, custody, and compliance machinery has to keep running alongside the new rails, an issuer does not pay 1% to tokenize. It pays 101%, the cost of the new system on top of the old one it cannot yet switch off. That is the gap between the trillion-dollar forecasts and the billions actually on-chain, and it is an honest thing for a regulated institution to say out loud.</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Roughly $31 billion of real-world assets are tokenized on-chain today, against institutional 2030 forecasts of $2 trillion to $5.5 trillion. The gap is not a technology gap. It is a transition-cost and liquidity gap.</w:t>
      </w:r>
    </w:p>
    <w:p>
      <w:pPr>
        <w:keepNext/>
        <w:spacing w:before="320" w:after="120"/>
        <w:pBdr>
          <w:bottom w:val="single" w:sz="4" w:space="4" w:color="D8A94A"/>
        </w:pBdr>
      </w:pPr>
      <w:r>
        <w:rPr>
          <w:rFonts w:ascii="Fraunces" w:hAnsi="Fraunces" w:cs="Fraunces" w:eastAsia="Fraunces"/>
          <w:b/>
          <w:i w:val="0"/>
          <w:color w:val="D8A94A"/>
          <w:sz w:val="32"/>
        </w:rPr>
        <w:t>1. The realized market is small, and roughly flat</w:t>
      </w:r>
    </w:p>
    <w:p>
      <w:pPr>
        <w:spacing w:after="160"/>
      </w:pPr>
      <w:r>
        <w:rPr>
          <w:rFonts w:ascii="Hanken Grotesk" w:hAnsi="Hanken Grotesk" w:cs="Hanken Grotesk" w:eastAsia="Hanken Grotesk"/>
          <w:b w:val="0"/>
          <w:i w:val="0"/>
          <w:color w:val="16202B"/>
          <w:sz w:val="21"/>
        </w:rPr>
        <w:t>The data is sobering against the hype. Total on-chain tokenized real-world assets, excluding stablecoins, stood at roughly $31.5 billion in June 2026, with tokenized US Treasuries at about $14.8 billion, and the category was essentially flat over the prior thirty days. [1] The Treasury segment is concentrated in a handful of institutional funds, with Circle, BlackRock's BUIDL, Ondo, and Franklin Templeton accounting for the bulk of it. [1] The starkest gap is in tokenized equities, which trade at under 1% of the volume of their traditional-market equivalents despite headline launches. [2]</w:t>
      </w:r>
    </w:p>
    <w:p>
      <w:pPr>
        <w:spacing w:after="160"/>
      </w:pPr>
      <w:r>
        <w:rPr>
          <w:rFonts w:ascii="Hanken Grotesk" w:hAnsi="Hanken Grotesk" w:cs="Hanken Grotesk" w:eastAsia="Hanken Grotesk"/>
          <w:b w:val="0"/>
          <w:i w:val="0"/>
          <w:color w:val="16202B"/>
          <w:sz w:val="21"/>
        </w:rPr>
        <w:t>This is not failure. The sector grew more than 250% over the prior fifteen months. [2] But it is a fraction of what the forecasts imply.</w:t>
      </w:r>
    </w:p>
    <w:p>
      <w:pPr>
        <w:keepNext/>
        <w:spacing w:before="320" w:after="120"/>
        <w:pBdr>
          <w:bottom w:val="single" w:sz="4" w:space="4" w:color="D8A94A"/>
        </w:pBdr>
      </w:pPr>
      <w:r>
        <w:rPr>
          <w:rFonts w:ascii="Fraunces" w:hAnsi="Fraunces" w:cs="Fraunces" w:eastAsia="Fraunces"/>
          <w:b/>
          <w:i w:val="0"/>
          <w:color w:val="D8A94A"/>
          <w:sz w:val="32"/>
        </w:rPr>
        <w:t>2. The forecast gap is real, and worth naming</w:t>
      </w:r>
    </w:p>
    <w:p>
      <w:pPr>
        <w:spacing w:after="160"/>
      </w:pPr>
      <w:r>
        <w:rPr>
          <w:rFonts w:ascii="Hanken Grotesk" w:hAnsi="Hanken Grotesk" w:cs="Hanken Grotesk" w:eastAsia="Hanken Grotesk"/>
          <w:b w:val="0"/>
          <w:i w:val="0"/>
          <w:color w:val="16202B"/>
          <w:sz w:val="21"/>
        </w:rPr>
        <w:t>McKinsey's conservative institutional base case puts total tokenized market value at roughly $2 trillion by 2030, around $4 trillion in an optimistic case, and states plainly that broad adoption is "still far away." [3] Citi's base case is higher, at $5.5 trillion. [4] Against roughly $31 billion realized, that is a gap of one to two orders of magnitude. [1]</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A credible institutional voice should hold both truths at once: tokenization's direction is inevitable, and its current realized volume is one to two orders of magnitude below the forecasts. Stating the gap is what separates a bank's research from a vendor's brochure.</w:t>
      </w:r>
    </w:p>
    <w:p>
      <w:pPr>
        <w:keepNext/>
        <w:spacing w:before="320" w:after="120"/>
        <w:pBdr>
          <w:bottom w:val="single" w:sz="4" w:space="4" w:color="D8A94A"/>
        </w:pBdr>
      </w:pPr>
      <w:r>
        <w:rPr>
          <w:rFonts w:ascii="Fraunces" w:hAnsi="Fraunces" w:cs="Fraunces" w:eastAsia="Fraunces"/>
          <w:b/>
          <w:i w:val="0"/>
          <w:color w:val="D8A94A"/>
          <w:sz w:val="32"/>
        </w:rPr>
        <w:t>3. Why the gap exists: the 101% problem</w:t>
      </w:r>
    </w:p>
    <w:p>
      <w:pPr>
        <w:spacing w:after="160"/>
      </w:pPr>
      <w:r>
        <w:rPr>
          <w:rFonts w:ascii="Hanken Grotesk" w:hAnsi="Hanken Grotesk" w:cs="Hanken Grotesk" w:eastAsia="Hanken Grotesk"/>
          <w:b w:val="0"/>
          <w:i w:val="0"/>
          <w:color w:val="16202B"/>
          <w:sz w:val="21"/>
        </w:rPr>
        <w:t>The gap is not because the technology does not work. It is because the transition is expensive. An issuer that tokenizes an asset does not get to retire its existing transfer agent, custodian, reconciliation, and compliance stack on day one. It runs the new rail and the old one in parallel. The operating cost of the tokenized rail may be a fraction of the legacy cost, but the issuer pays for both until the legacy system can actually be switched off. So the near-term economics are not "1% of the old cost." They are "101%," the new system layered on the old. Add unresolved regulatory fragmentation and thin secondary-market liquidity, and the cold-start problem is clear: nobody wants to be the first to bear the double cost. [3]</w:t>
      </w:r>
    </w:p>
    <w:p>
      <w:pPr>
        <w:spacing w:after="160"/>
      </w:pPr>
      <w:r>
        <w:rPr>
          <w:rFonts w:ascii="Hanken Grotesk" w:hAnsi="Hanken Grotesk" w:cs="Hanken Grotesk" w:eastAsia="Hanken Grotesk"/>
          <w:b w:val="0"/>
          <w:i w:val="0"/>
          <w:color w:val="16202B"/>
          <w:sz w:val="21"/>
        </w:rPr>
        <w:t>This is the contrarian reading Nathan McCauley has voiced: the opex of running on tokenized rails is dramatically better, which is exactly why the destination is certain, but you still have to run the whole existing thing in the meantime, which is exactly why the path is slow.</w:t>
      </w:r>
    </w:p>
    <w:p>
      <w:pPr>
        <w:keepNext/>
        <w:spacing w:before="320" w:after="120"/>
        <w:pBdr>
          <w:bottom w:val="single" w:sz="4" w:space="4" w:color="D8A94A"/>
        </w:pBdr>
      </w:pPr>
      <w:r>
        <w:rPr>
          <w:rFonts w:ascii="Fraunces" w:hAnsi="Fraunces" w:cs="Fraunces" w:eastAsia="Fraunces"/>
          <w:b/>
          <w:i w:val="0"/>
          <w:color w:val="D8A94A"/>
          <w:sz w:val="32"/>
        </w:rPr>
        <w:t>4. The position: build the rails, do not assume the volume</w:t>
      </w:r>
    </w:p>
    <w:p>
      <w:pPr>
        <w:spacing w:after="160"/>
      </w:pPr>
      <w:r>
        <w:rPr>
          <w:rFonts w:ascii="Hanken Grotesk" w:hAnsi="Hanken Grotesk" w:cs="Hanken Grotesk" w:eastAsia="Hanken Grotesk"/>
          <w:b w:val="0"/>
          <w:i w:val="0"/>
          <w:color w:val="16202B"/>
          <w:sz w:val="21"/>
        </w:rPr>
        <w:t>The institutional move is to build the tokenized settlement and collateral infrastructure now, while being honest that the volume arrives only when the transition cost falls. Anchorage's Atlas settlement and collateral network scaled roughly fourfold in a year to nearly 600 participants, and its acquisition of the Securitize for Advisors platform added a tokenization franchise. [5][6] That is the right posture: own the rail, custody the assets, and let the volume migrate as issuers reach the point where they can finally turn the old system off. The mistake is the brochure version that assumes the trillions arrive on their own. They do not. The institution that builds the regulated rail and tells the truth about the transition is the one that is there when the volume finally moves.</w:t>
      </w:r>
    </w:p>
    <w:p>
      <w:pPr>
        <w:keepNext/>
        <w:spacing w:before="320" w:after="120"/>
        <w:pBdr>
          <w:bottom w:val="single" w:sz="4" w:space="4" w:color="D8A94A"/>
        </w:pBdr>
      </w:pPr>
      <w:r>
        <w:rPr>
          <w:rFonts w:ascii="Fraunces" w:hAnsi="Fraunces" w:cs="Fraunces" w:eastAsia="Fraunces"/>
          <w:b/>
          <w:i w:val="0"/>
          <w:color w:val="D8A94A"/>
          <w:sz w:val="32"/>
        </w:rPr>
        <w:t>Sources</w:t>
      </w:r>
    </w:p>
    <w:p>
      <w:pPr>
        <w:spacing w:after="60"/>
        <w:ind w:left="400" w:hanging="400"/>
      </w:pPr>
      <w:r>
        <w:rPr>
          <w:rFonts w:ascii="IBM Plex Mono" w:hAnsi="IBM Plex Mono" w:cs="IBM Plex Mono" w:eastAsia="IBM Plex Mono"/>
          <w:b/>
          <w:i w:val="0"/>
          <w:color w:val="9A7320"/>
          <w:sz w:val="17"/>
        </w:rPr>
        <w:t xml:space="preserve">1.  </w:t>
      </w:r>
      <w:r>
        <w:rPr>
          <w:rFonts w:ascii="Hanken Grotesk" w:hAnsi="Hanken Grotesk" w:cs="Hanken Grotesk" w:eastAsia="Hanken Grotesk"/>
          <w:b w:val="0"/>
          <w:i w:val="0"/>
          <w:color w:val="55606B"/>
          <w:sz w:val="17"/>
        </w:rPr>
        <w:t>rwa.xyz, Asset analytics and Tokenized U.S. Treasuries ($31.5B total RWA ex-stablecoins; $14.8B treasuries; concentration), June 3, 2026. https://app.rwa.xyz/treasuries</w:t>
      </w:r>
    </w:p>
    <w:p>
      <w:pPr>
        <w:spacing w:after="60"/>
        <w:ind w:left="400" w:hanging="400"/>
      </w:pPr>
      <w:r>
        <w:rPr>
          <w:rFonts w:ascii="IBM Plex Mono" w:hAnsi="IBM Plex Mono" w:cs="IBM Plex Mono" w:eastAsia="IBM Plex Mono"/>
          <w:b/>
          <w:i w:val="0"/>
          <w:color w:val="9A7320"/>
          <w:sz w:val="17"/>
        </w:rPr>
        <w:t xml:space="preserve">2.  </w:t>
      </w:r>
      <w:r>
        <w:rPr>
          <w:rFonts w:ascii="Hanken Grotesk" w:hAnsi="Hanken Grotesk" w:cs="Hanken Grotesk" w:eastAsia="Hanken Grotesk"/>
          <w:b w:val="0"/>
          <w:i w:val="0"/>
          <w:color w:val="55606B"/>
          <w:sz w:val="17"/>
        </w:rPr>
        <w:t>CoinGecko RWA Report 2026 (sector growth; tokenized equities under 1% of TradFi volume). https://www.coingecko.com/research/publications/rwa-report-2026</w:t>
      </w:r>
    </w:p>
    <w:p>
      <w:pPr>
        <w:spacing w:after="60"/>
        <w:ind w:left="400" w:hanging="400"/>
      </w:pPr>
      <w:r>
        <w:rPr>
          <w:rFonts w:ascii="IBM Plex Mono" w:hAnsi="IBM Plex Mono" w:cs="IBM Plex Mono" w:eastAsia="IBM Plex Mono"/>
          <w:b/>
          <w:i w:val="0"/>
          <w:color w:val="9A7320"/>
          <w:sz w:val="17"/>
        </w:rPr>
        <w:t xml:space="preserve">3.  </w:t>
      </w:r>
      <w:r>
        <w:rPr>
          <w:rFonts w:ascii="Hanken Grotesk" w:hAnsi="Hanken Grotesk" w:cs="Hanken Grotesk" w:eastAsia="Hanken Grotesk"/>
          <w:b w:val="0"/>
          <w:i w:val="0"/>
          <w:color w:val="55606B"/>
          <w:sz w:val="17"/>
        </w:rPr>
        <w:t>McKinsey &amp; Company, "From Ripples to Waves: The Transformational Power of Tokenizing Assets" (base case ~$2T by 2030; broad adoption "still far away"). https://finance.yahoo.com/news/mckinsey-sees-just-2t-tokenized-180448151.html</w:t>
      </w:r>
    </w:p>
    <w:p>
      <w:pPr>
        <w:spacing w:after="60"/>
        <w:ind w:left="400" w:hanging="400"/>
      </w:pPr>
      <w:r>
        <w:rPr>
          <w:rFonts w:ascii="IBM Plex Mono" w:hAnsi="IBM Plex Mono" w:cs="IBM Plex Mono" w:eastAsia="IBM Plex Mono"/>
          <w:b/>
          <w:i w:val="0"/>
          <w:color w:val="9A7320"/>
          <w:sz w:val="17"/>
        </w:rPr>
        <w:t xml:space="preserve">4.  </w:t>
      </w:r>
      <w:r>
        <w:rPr>
          <w:rFonts w:ascii="Hanken Grotesk" w:hAnsi="Hanken Grotesk" w:cs="Hanken Grotesk" w:eastAsia="Hanken Grotesk"/>
          <w:b w:val="0"/>
          <w:i w:val="0"/>
          <w:color w:val="55606B"/>
          <w:sz w:val="17"/>
        </w:rPr>
        <w:t>Citi Institute, Global Perspectives and Solutions, "Tokenization 2030" ($5.5T base case). https://www.citigroup.com/rcs/citigpa/storage/public/Citi_Institute_GPS_Report_Tokenization_2030.pdf</w:t>
      </w:r>
    </w:p>
    <w:p>
      <w:pPr>
        <w:spacing w:after="60"/>
        <w:ind w:left="400" w:hanging="400"/>
      </w:pPr>
      <w:r>
        <w:rPr>
          <w:rFonts w:ascii="IBM Plex Mono" w:hAnsi="IBM Plex Mono" w:cs="IBM Plex Mono" w:eastAsia="IBM Plex Mono"/>
          <w:b/>
          <w:i w:val="0"/>
          <w:color w:val="9A7320"/>
          <w:sz w:val="17"/>
        </w:rPr>
        <w:t xml:space="preserve">5.  </w:t>
      </w:r>
      <w:r>
        <w:rPr>
          <w:rFonts w:ascii="Hanken Grotesk" w:hAnsi="Hanken Grotesk" w:cs="Hanken Grotesk" w:eastAsia="Hanken Grotesk"/>
          <w:b w:val="0"/>
          <w:i w:val="0"/>
          <w:color w:val="55606B"/>
          <w:sz w:val="17"/>
        </w:rPr>
        <w:t>Anchorage Digital, "Expanding Atlas" (nearly 600 participants), March 19, 2026. https://www.anchorage.com/insights/expanding-atlas-anchorage-digital-launches-institutional-grade-collateral-management-offering</w:t>
      </w:r>
    </w:p>
    <w:p>
      <w:pPr>
        <w:spacing w:after="60"/>
        <w:ind w:left="400" w:hanging="400"/>
      </w:pPr>
      <w:r>
        <w:rPr>
          <w:rFonts w:ascii="IBM Plex Mono" w:hAnsi="IBM Plex Mono" w:cs="IBM Plex Mono" w:eastAsia="IBM Plex Mono"/>
          <w:b/>
          <w:i w:val="0"/>
          <w:color w:val="9A7320"/>
          <w:sz w:val="17"/>
        </w:rPr>
        <w:t xml:space="preserve">6.  </w:t>
      </w:r>
      <w:r>
        <w:rPr>
          <w:rFonts w:ascii="Hanken Grotesk" w:hAnsi="Hanken Grotesk" w:cs="Hanken Grotesk" w:eastAsia="Hanken Grotesk"/>
          <w:b w:val="0"/>
          <w:i w:val="0"/>
          <w:color w:val="55606B"/>
          <w:sz w:val="17"/>
        </w:rPr>
        <w:t>Anchorage Digital, "Anchorage Digital Acquires Securitize for Advisors Platform," December 15, 2025. https://www.anchorage.com/insights/anchorage-digital-acquires-securitize-advisors-platform-strengthen-wealth-management-platform</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tcW w:w="9360" w:type="dxa"/>
            <w:shd w:val="clear" w:color="auto" w:fill="0A1726"/>
            <w:tcMar>
              <w:top w:w="420" w:type="dxa"/>
              <w:bottom w:w="420" w:type="dxa"/>
              <w:left w:w="300" w:type="dxa"/>
              <w:right w:w="300" w:type="dxa"/>
            </w:tcMar>
          </w:tcPr>
          <w:p>
            <w:pPr>
              <w:spacing w:lineRule="auto" w:after="200" w:line="240"/>
            </w:pPr>
            <w:r>
              <w:rPr>
                <w:rFonts w:ascii="IBM Plex Mono" w:hAnsi="IBM Plex Mono" w:cs="IBM Plex Mono" w:eastAsia="IBM Plex Mono"/>
                <w:b w:val="0"/>
                <w:i w:val="0"/>
                <w:color w:val="D8A94A"/>
                <w:sz w:val="18"/>
                <w:spacing w:val="40"/>
              </w:rPr>
              <w:t>PAPER 04  ·  PILLAR 4, ANCHORAGE PRODUCTS (CUSTODY)</w:t>
            </w:r>
          </w:p>
          <w:p>
            <w:pPr>
              <w:spacing w:lineRule="auto" w:after="120" w:line="250"/>
            </w:pPr>
            <w:r>
              <w:rPr>
                <w:rFonts w:ascii="Fraunces" w:hAnsi="Fraunces" w:cs="Fraunces" w:eastAsia="Fraunces"/>
                <w:b/>
                <w:i w:val="0"/>
                <w:color w:val="F2ECDF"/>
                <w:sz w:val="48"/>
              </w:rPr>
              <w:t>Custody Must Be Usable in the Age of Agents</w:t>
            </w:r>
          </w:p>
          <w:p>
            <w:pPr>
              <w:spacing w:lineRule="auto" w:before="40" w:after="200"/>
              <w:pBdr>
                <w:bottom w:val="single" w:sz="8" w:space="1" w:color="D8A94A"/>
              </w:pBdr>
            </w:pPr>
            <w:r>
              <w:rPr>
                <w:rFonts w:ascii="Hanken Grotesk" w:hAnsi="Hanken Grotesk" w:cs="Hanken Grotesk" w:eastAsia="Hanken Grotesk"/>
                <w:b w:val="0"/>
                <w:i w:val="0"/>
                <w:color w:val="D8A94A"/>
                <w:sz w:val="4"/>
              </w:rPr>
            </w:r>
          </w:p>
          <w:p>
            <w:pPr>
              <w:spacing w:lineRule="auto" w:after="240" w:line="288"/>
            </w:pPr>
            <w:r>
              <w:rPr>
                <w:rFonts w:ascii="Fraunces" w:hAnsi="Fraunces" w:cs="Fraunces" w:eastAsia="Fraunces"/>
                <w:b w:val="0"/>
                <w:i/>
                <w:color w:val="DEE5EE"/>
                <w:sz w:val="28"/>
              </w:rPr>
              <w:t>Give the agent an allowance, not the keys</w:t>
            </w:r>
          </w:p>
          <w:p>
            <w:pPr>
              <w:spacing w:lineRule="auto" w:before="120" w:after="80" w:line="312"/>
            </w:pPr>
            <w:r>
              <w:rPr>
                <w:rFonts w:ascii="Fraunces" w:hAnsi="Fraunces" w:cs="Fraunces" w:eastAsia="Fraunces"/>
                <w:b w:val="0"/>
                <w:i/>
                <w:color w:val="EAC36B"/>
                <w:sz w:val="24"/>
              </w:rPr>
              <w:t>The question is no longer where the keys sit. It is how an autonomous actor uses assets under governed, recoverable controls.</w:t>
            </w:r>
          </w:p>
        </w:tc>
      </w:tr>
    </w:tbl>
    <w:p>
      <w:pPr>
        <w:spacing w:after="120" w:before="0"/>
      </w:pPr>
    </w:p>
    <w:p>
      <w:pPr>
        <w:keepNext/>
        <w:spacing w:before="320" w:after="120"/>
        <w:pBdr>
          <w:bottom w:val="single" w:sz="4" w:space="4" w:color="D8A94A"/>
        </w:pBdr>
      </w:pPr>
      <w:r>
        <w:rPr>
          <w:rFonts w:ascii="Fraunces" w:hAnsi="Fraunces" w:cs="Fraunces" w:eastAsia="Fraunces"/>
          <w:b/>
          <w:i w:val="0"/>
          <w:color w:val="D8A94A"/>
          <w:sz w:val="32"/>
        </w:rPr>
        <w:t>Executive summary</w:t>
      </w:r>
    </w:p>
    <w:p>
      <w:pPr>
        <w:spacing w:after="160"/>
      </w:pPr>
      <w:r>
        <w:rPr>
          <w:rFonts w:ascii="Hanken Grotesk" w:hAnsi="Hanken Grotesk" w:cs="Hanken Grotesk" w:eastAsia="Hanken Grotesk"/>
          <w:b w:val="0"/>
          <w:i w:val="0"/>
          <w:color w:val="16202B"/>
          <w:sz w:val="21"/>
        </w:rPr>
        <w:t>For a decade the custody argument has been about temperature and ownership: cold storage versus hot wallets, self-custody versus a third party. Autonomous agents break that frame. An agent cannot operate from cold storage, and handing it the private keys is not custody, it is abdication. The institutional requirement for the agent era is custody that is usable, an arrangement where an agent can transact within governed, scoped, recoverable limits while the institution retains control. The right metaphor is not a vault and not a hot wallet. It is an allowance.</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Autonomous agents require custody that is simultaneously usable and controlled. Neither cold storage nor key handover meets that bar. Segmented, governed, recoverable custody does.</w:t>
      </w:r>
    </w:p>
    <w:p>
      <w:pPr>
        <w:keepNext/>
        <w:spacing w:before="320" w:after="120"/>
        <w:pBdr>
          <w:bottom w:val="single" w:sz="4" w:space="4" w:color="D8A94A"/>
        </w:pBdr>
      </w:pPr>
      <w:r>
        <w:rPr>
          <w:rFonts w:ascii="Fraunces" w:hAnsi="Fraunces" w:cs="Fraunces" w:eastAsia="Fraunces"/>
          <w:b/>
          <w:i w:val="0"/>
          <w:color w:val="D8A94A"/>
          <w:sz w:val="32"/>
        </w:rPr>
        <w:t>1. The institutional market already chose regulated custody</w:t>
      </w:r>
    </w:p>
    <w:p>
      <w:pPr>
        <w:spacing w:after="160"/>
      </w:pPr>
      <w:r>
        <w:rPr>
          <w:rFonts w:ascii="Hanken Grotesk" w:hAnsi="Hanken Grotesk" w:cs="Hanken Grotesk" w:eastAsia="Hanken Grotesk"/>
          <w:b w:val="0"/>
          <w:i w:val="0"/>
          <w:color w:val="16202B"/>
          <w:sz w:val="21"/>
        </w:rPr>
        <w:t>The flows settle the old debate. Institutional capital moved decisively toward regulated, third-party custody, not self-custody, as it entered crypto at scale. BlackRock named Anchorage Digital Bank an eligible custodian for its spot crypto exchange-traded products, extending a relationship that already custodied its tokenized BUIDL fund. [1] The asset manager 3iQ selected Anchorage to custody and run infrastructure for six exchange-traded products listed on the Toronto Stock Exchange. [2] Across the market, regulated custody, not key self-management, is the institutional default, and the OCC affirmed in 2025 that national banks may custody crypto and removed the supervisory non-objection gate. [3]</w:t>
      </w:r>
    </w:p>
    <w:p>
      <w:pPr>
        <w:spacing w:after="160"/>
      </w:pPr>
      <w:r>
        <w:rPr>
          <w:rFonts w:ascii="Hanken Grotesk" w:hAnsi="Hanken Grotesk" w:cs="Hanken Grotesk" w:eastAsia="Hanken Grotesk"/>
          <w:b w:val="0"/>
          <w:i w:val="0"/>
          <w:color w:val="16202B"/>
          <w:sz w:val="21"/>
        </w:rPr>
        <w:t>The self-custody maximalist position, that the only safe key is your own, does not survive contact with fiduciary duty. An institution acting for clients needs recoverability, auditability, and governance that a single private key cannot provide.</w:t>
      </w:r>
    </w:p>
    <w:p>
      <w:pPr>
        <w:keepNext/>
        <w:spacing w:before="320" w:after="120"/>
        <w:pBdr>
          <w:bottom w:val="single" w:sz="4" w:space="4" w:color="D8A94A"/>
        </w:pBdr>
      </w:pPr>
      <w:r>
        <w:rPr>
          <w:rFonts w:ascii="Fraunces" w:hAnsi="Fraunces" w:cs="Fraunces" w:eastAsia="Fraunces"/>
          <w:b/>
          <w:i w:val="0"/>
          <w:color w:val="D8A94A"/>
          <w:sz w:val="32"/>
        </w:rPr>
        <w:t>2. Agents change the requirement from storage to usability</w:t>
      </w:r>
    </w:p>
    <w:p>
      <w:pPr>
        <w:spacing w:after="160"/>
      </w:pPr>
      <w:r>
        <w:rPr>
          <w:rFonts w:ascii="Hanken Grotesk" w:hAnsi="Hanken Grotesk" w:cs="Hanken Grotesk" w:eastAsia="Hanken Grotesk"/>
          <w:b w:val="0"/>
          <w:i w:val="0"/>
          <w:color w:val="16202B"/>
          <w:sz w:val="21"/>
        </w:rPr>
        <w:t>A custodied asset that an agent cannot touch is useless to the agent economy. But an agent holding the keys is an uninsurable, ungovernable risk. The resolution is custody designed for delegated, bounded use: the agent receives a scoped allowance, not the account; spending and action limits are enforced at the custody layer; every action is logged; and the institution can revoke or recover at any time.</w:t>
      </w:r>
    </w:p>
    <w:p>
      <w:pPr>
        <w:spacing w:after="160"/>
      </w:pPr>
      <w:r>
        <w:rPr>
          <w:rFonts w:ascii="Hanken Grotesk" w:hAnsi="Hanken Grotesk" w:cs="Hanken Grotesk" w:eastAsia="Hanken Grotesk"/>
          <w:b w:val="0"/>
          <w:i w:val="0"/>
          <w:color w:val="16202B"/>
          <w:sz w:val="21"/>
        </w:rPr>
        <w:t>This is the natural extension of Nathan McCauley's framing that assets should not be defined by their temperature. The relevant property is not hot or cold. It is whether the asset can be put to work under controls the institution actually holds. For an agent, that means an allowance model: enough authority to act, never enough to run away with the account.</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The agent era reframes custody from a storage question to a usability-under-control question. The product is a governed allowance, not a vault and not a private key.</w:t>
      </w:r>
    </w:p>
    <w:p>
      <w:pPr>
        <w:keepNext/>
        <w:spacing w:before="320" w:after="120"/>
        <w:pBdr>
          <w:bottom w:val="single" w:sz="4" w:space="4" w:color="D8A94A"/>
        </w:pBdr>
      </w:pPr>
      <w:r>
        <w:rPr>
          <w:rFonts w:ascii="Fraunces" w:hAnsi="Fraunces" w:cs="Fraunces" w:eastAsia="Fraunces"/>
          <w:b/>
          <w:i w:val="0"/>
          <w:color w:val="D8A94A"/>
          <w:sz w:val="32"/>
        </w:rPr>
        <w:t>3. Controls are the on-ramp</w:t>
      </w:r>
    </w:p>
    <w:p>
      <w:pPr>
        <w:spacing w:after="160"/>
      </w:pPr>
      <w:r>
        <w:rPr>
          <w:rFonts w:ascii="Hanken Grotesk" w:hAnsi="Hanken Grotesk" w:cs="Hanken Grotesk" w:eastAsia="Hanken Grotesk"/>
          <w:b w:val="0"/>
          <w:i w:val="0"/>
          <w:color w:val="16202B"/>
          <w:sz w:val="21"/>
        </w:rPr>
        <w:t>The instinct in a regulated institution is to treat controls as a brake on innovation. The agent economy inverts that. An agent that no institution can govern is an agent no institution will fund. The controls, scoped permissions, enforced limits, full audit trail, recoverability, are precisely what make it safe to let an agent act on real capital. They are the on-ramp, not the brake. The same logic that brought institutional capital into custodied crypto, that capital follows control, will govern which agents are allowed near institutional balance sheets.</w:t>
      </w:r>
    </w:p>
    <w:p>
      <w:pPr>
        <w:keepNext/>
        <w:spacing w:before="320" w:after="120"/>
        <w:pBdr>
          <w:bottom w:val="single" w:sz="4" w:space="4" w:color="D8A94A"/>
        </w:pBdr>
      </w:pPr>
      <w:r>
        <w:rPr>
          <w:rFonts w:ascii="Fraunces" w:hAnsi="Fraunces" w:cs="Fraunces" w:eastAsia="Fraunces"/>
          <w:b/>
          <w:i w:val="0"/>
          <w:color w:val="D8A94A"/>
          <w:sz w:val="32"/>
        </w:rPr>
        <w:t>4. The position: usable custody, from a chartered bank</w:t>
      </w:r>
    </w:p>
    <w:p>
      <w:pPr>
        <w:spacing w:after="160"/>
      </w:pPr>
      <w:r>
        <w:rPr>
          <w:rFonts w:ascii="Hanken Grotesk" w:hAnsi="Hanken Grotesk" w:cs="Hanken Grotesk" w:eastAsia="Hanken Grotesk"/>
          <w:b w:val="0"/>
          <w:i w:val="0"/>
          <w:color w:val="16202B"/>
          <w:sz w:val="21"/>
        </w:rPr>
        <w:t>The institutional custody product for the agent era is segmented, governed, recoverable custody operated by a federally chartered trust bank, exposing agents to a scoped allowance rather than the keys. A chartered bank can offer what neither self-custody nor an unregulated wallet can: the combination of usability, governance, recoverability, and a regulator behind it. Custody stops being a place assets sit and becomes the control surface through which autonomous actors are allowed to operate. That is the version of custody the next phase requires.</w:t>
      </w:r>
    </w:p>
    <w:p>
      <w:pPr>
        <w:keepNext/>
        <w:spacing w:before="320" w:after="120"/>
        <w:pBdr>
          <w:bottom w:val="single" w:sz="4" w:space="4" w:color="D8A94A"/>
        </w:pBdr>
      </w:pPr>
      <w:r>
        <w:rPr>
          <w:rFonts w:ascii="Fraunces" w:hAnsi="Fraunces" w:cs="Fraunces" w:eastAsia="Fraunces"/>
          <w:b/>
          <w:i w:val="0"/>
          <w:color w:val="D8A94A"/>
          <w:sz w:val="32"/>
        </w:rPr>
        <w:t>Sources</w:t>
      </w:r>
    </w:p>
    <w:p>
      <w:pPr>
        <w:spacing w:after="60"/>
        <w:ind w:left="400" w:hanging="400"/>
      </w:pPr>
      <w:r>
        <w:rPr>
          <w:rFonts w:ascii="IBM Plex Mono" w:hAnsi="IBM Plex Mono" w:cs="IBM Plex Mono" w:eastAsia="IBM Plex Mono"/>
          <w:b/>
          <w:i w:val="0"/>
          <w:color w:val="9A7320"/>
          <w:sz w:val="17"/>
        </w:rPr>
        <w:t xml:space="preserve">1.  </w:t>
      </w:r>
      <w:r>
        <w:rPr>
          <w:rFonts w:ascii="Hanken Grotesk" w:hAnsi="Hanken Grotesk" w:cs="Hanken Grotesk" w:eastAsia="Hanken Grotesk"/>
          <w:b w:val="0"/>
          <w:i w:val="0"/>
          <w:color w:val="55606B"/>
          <w:sz w:val="17"/>
        </w:rPr>
        <w:t>Markets Media, "BlackRock Adds Anchorage Digital as Custodian," April 9, 2025. https://www.marketsmedia.com/blackrock-adds-anchorage-digital-as-custodian/</w:t>
      </w:r>
    </w:p>
    <w:p>
      <w:pPr>
        <w:spacing w:after="60"/>
        <w:ind w:left="400" w:hanging="400"/>
      </w:pPr>
      <w:r>
        <w:rPr>
          <w:rFonts w:ascii="IBM Plex Mono" w:hAnsi="IBM Plex Mono" w:cs="IBM Plex Mono" w:eastAsia="IBM Plex Mono"/>
          <w:b/>
          <w:i w:val="0"/>
          <w:color w:val="9A7320"/>
          <w:sz w:val="17"/>
        </w:rPr>
        <w:t xml:space="preserve">2.  </w:t>
      </w:r>
      <w:r>
        <w:rPr>
          <w:rFonts w:ascii="Hanken Grotesk" w:hAnsi="Hanken Grotesk" w:cs="Hanken Grotesk" w:eastAsia="Hanken Grotesk"/>
          <w:b w:val="0"/>
          <w:i w:val="0"/>
          <w:color w:val="55606B"/>
          <w:sz w:val="17"/>
        </w:rPr>
        <w:t>Anchorage Digital, "Anchorage Digital Selected by 3iQ as Infrastructure and Custody Partner," May 20, 2026. https://www.anchorage.com/insights/anchorage-digital-selected-by-3iq-as-infrastructure-and-custody-partner-for-digital-asset-investment-platform</w:t>
      </w:r>
    </w:p>
    <w:p>
      <w:pPr>
        <w:spacing w:after="60"/>
        <w:ind w:left="400" w:hanging="400"/>
      </w:pPr>
      <w:r>
        <w:rPr>
          <w:rFonts w:ascii="IBM Plex Mono" w:hAnsi="IBM Plex Mono" w:cs="IBM Plex Mono" w:eastAsia="IBM Plex Mono"/>
          <w:b/>
          <w:i w:val="0"/>
          <w:color w:val="9A7320"/>
          <w:sz w:val="17"/>
        </w:rPr>
        <w:t xml:space="preserve">3.  </w:t>
      </w:r>
      <w:r>
        <w:rPr>
          <w:rFonts w:ascii="Hanken Grotesk" w:hAnsi="Hanken Grotesk" w:cs="Hanken Grotesk" w:eastAsia="Hanken Grotesk"/>
          <w:b w:val="0"/>
          <w:i w:val="0"/>
          <w:color w:val="55606B"/>
          <w:sz w:val="17"/>
        </w:rPr>
        <w:t>OCC News Release 2025-16, Interpretive Letter 1183, March 7, 2025. https://www.occ.treas.gov/news-issuances/news-releases/2025/nr-occ-2025-16.html</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tcW w:w="9360" w:type="dxa"/>
            <w:shd w:val="clear" w:color="auto" w:fill="0A1726"/>
            <w:tcMar>
              <w:top w:w="420" w:type="dxa"/>
              <w:bottom w:w="420" w:type="dxa"/>
              <w:left w:w="300" w:type="dxa"/>
              <w:right w:w="300" w:type="dxa"/>
            </w:tcMar>
          </w:tcPr>
          <w:p>
            <w:pPr>
              <w:spacing w:lineRule="auto" w:after="200" w:line="240"/>
            </w:pPr>
            <w:r>
              <w:rPr>
                <w:rFonts w:ascii="IBM Plex Mono" w:hAnsi="IBM Plex Mono" w:cs="IBM Plex Mono" w:eastAsia="IBM Plex Mono"/>
                <w:b w:val="0"/>
                <w:i w:val="0"/>
                <w:color w:val="D8A94A"/>
                <w:sz w:val="18"/>
                <w:spacing w:val="40"/>
              </w:rPr>
              <w:t>PAPER 05  ·  PILLAR 5, POLICY</w:t>
            </w:r>
          </w:p>
          <w:p>
            <w:pPr>
              <w:spacing w:lineRule="auto" w:after="120" w:line="250"/>
            </w:pPr>
            <w:r>
              <w:rPr>
                <w:rFonts w:ascii="Fraunces" w:hAnsi="Fraunces" w:cs="Fraunces" w:eastAsia="Fraunces"/>
                <w:b/>
                <w:i w:val="0"/>
                <w:color w:val="F2ECDF"/>
                <w:sz w:val="48"/>
              </w:rPr>
              <w:t>The Rulebook for Autonomous Money</w:t>
            </w:r>
          </w:p>
          <w:p>
            <w:pPr>
              <w:spacing w:lineRule="auto" w:before="40" w:after="200"/>
              <w:pBdr>
                <w:bottom w:val="single" w:sz="8" w:space="1" w:color="D8A94A"/>
              </w:pBdr>
            </w:pPr>
            <w:r>
              <w:rPr>
                <w:rFonts w:ascii="Hanken Grotesk" w:hAnsi="Hanken Grotesk" w:cs="Hanken Grotesk" w:eastAsia="Hanken Grotesk"/>
                <w:b w:val="0"/>
                <w:i w:val="0"/>
                <w:color w:val="D8A94A"/>
                <w:sz w:val="4"/>
              </w:rPr>
            </w:r>
          </w:p>
          <w:p>
            <w:pPr>
              <w:spacing w:lineRule="auto" w:after="240" w:line="288"/>
            </w:pPr>
            <w:r>
              <w:rPr>
                <w:rFonts w:ascii="Fraunces" w:hAnsi="Fraunces" w:cs="Fraunces" w:eastAsia="Fraunces"/>
                <w:b w:val="0"/>
                <w:i/>
                <w:color w:val="DEE5EE"/>
                <w:sz w:val="28"/>
              </w:rPr>
              <w:t>A principles-based framework for agent finance</w:t>
            </w:r>
          </w:p>
          <w:p>
            <w:pPr>
              <w:spacing w:lineRule="auto" w:before="120" w:after="80" w:line="312"/>
            </w:pPr>
            <w:r>
              <w:rPr>
                <w:rFonts w:ascii="Fraunces" w:hAnsi="Fraunces" w:cs="Fraunces" w:eastAsia="Fraunces"/>
                <w:b w:val="0"/>
                <w:i/>
                <w:color w:val="EAC36B"/>
                <w:sz w:val="24"/>
              </w:rPr>
              <w:t>The principles-based approach that worked for stablecoins is the right template for money that moves itself.</w:t>
            </w:r>
          </w:p>
        </w:tc>
      </w:tr>
    </w:tbl>
    <w:p>
      <w:pPr>
        <w:spacing w:after="120" w:before="0"/>
      </w:pPr>
    </w:p>
    <w:p>
      <w:pPr>
        <w:keepNext/>
        <w:spacing w:before="320" w:after="120"/>
        <w:pBdr>
          <w:bottom w:val="single" w:sz="4" w:space="4" w:color="D8A94A"/>
        </w:pBdr>
      </w:pPr>
      <w:r>
        <w:rPr>
          <w:rFonts w:ascii="Fraunces" w:hAnsi="Fraunces" w:cs="Fraunces" w:eastAsia="Fraunces"/>
          <w:b/>
          <w:i w:val="0"/>
          <w:color w:val="D8A94A"/>
          <w:sz w:val="32"/>
        </w:rPr>
        <w:t>Executive summary</w:t>
      </w:r>
    </w:p>
    <w:p>
      <w:pPr>
        <w:spacing w:after="160"/>
      </w:pPr>
      <w:r>
        <w:rPr>
          <w:rFonts w:ascii="Hanken Grotesk" w:hAnsi="Hanken Grotesk" w:cs="Hanken Grotesk" w:eastAsia="Hanken Grotesk"/>
          <w:b w:val="0"/>
          <w:i w:val="0"/>
          <w:color w:val="16202B"/>
          <w:sz w:val="21"/>
        </w:rPr>
        <w:t>In the space of roughly eighteen months, the United States rebuilt the legal foundation for digital money. It rescinded the accounting rule that kept crypto off bank balance sheets, affirmed that national banks may custody it, passed the first federal stablecoin law, and chartered a new cohort of crypto-native trust banks. That is a working model of how to regulate a fast-moving financial technology: principles first, regulated entities as the perimeter, disclosure as the discipline. The next frontier, autonomous agents that hold balances and make payments, will need its own rulebook. The argument of this paper is that the principles-based approach already proven on stablecoins is the right template, and that it should be written with the institutions that will operate under it, not after the fact.</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The 2025 to 2026 US digital-asset framework is a repeatable template, principles-based rules enforced through regulated entities. Agent finance is the next domain that needs it, and the regulated banks are the natural place to anchor it.</w:t>
      </w:r>
    </w:p>
    <w:p>
      <w:pPr>
        <w:keepNext/>
        <w:spacing w:before="320" w:after="120"/>
        <w:pBdr>
          <w:bottom w:val="single" w:sz="4" w:space="4" w:color="D8A94A"/>
        </w:pBdr>
      </w:pPr>
      <w:r>
        <w:rPr>
          <w:rFonts w:ascii="Fraunces" w:hAnsi="Fraunces" w:cs="Fraunces" w:eastAsia="Fraunces"/>
          <w:b/>
          <w:i w:val="0"/>
          <w:color w:val="D8A94A"/>
          <w:sz w:val="32"/>
        </w:rPr>
        <w:t>1. What the rulebook already accomplished</w:t>
      </w:r>
    </w:p>
    <w:p>
      <w:pPr>
        <w:spacing w:after="160"/>
      </w:pPr>
      <w:r>
        <w:rPr>
          <w:rFonts w:ascii="Hanken Grotesk" w:hAnsi="Hanken Grotesk" w:cs="Hanken Grotesk" w:eastAsia="Hanken Grotesk"/>
          <w:b w:val="0"/>
          <w:i w:val="0"/>
          <w:color w:val="16202B"/>
          <w:sz w:val="21"/>
        </w:rPr>
        <w:t>The record is concrete and primary-sourced. The SEC rescinded SAB 121 via SAB 122 in January 2025, removing the requirement that custodians carry customer crypto as a balance-sheet liability, the single largest accounting barrier to bank custody. [1] An executive order the same day directed federal support for digital assets and banned a US central bank digital currency. [2] The OCC affirmed national banks may custody crypto and removed the supervisory non-objection gate in March 2025. [3] The SEC dismissed its enforcement action against Coinbase in February 2025, signaling a shift from regulation-by-enforcement to rulemaking. [4] In September 2025 the SEC approved generic listing standards that cut crypto ETP time-to-market to roughly sixty to seventy-five days. [5]</w:t>
      </w:r>
    </w:p>
    <w:p>
      <w:pPr>
        <w:spacing w:after="160"/>
      </w:pPr>
      <w:r>
        <w:rPr>
          <w:rFonts w:ascii="Hanken Grotesk" w:hAnsi="Hanken Grotesk" w:cs="Hanken Grotesk" w:eastAsia="Hanken Grotesk"/>
          <w:b w:val="0"/>
          <w:i w:val="0"/>
          <w:color w:val="16202B"/>
          <w:sz w:val="21"/>
        </w:rPr>
        <w:t>The centerpiece is the GENIUS Act, the first US federal framework for payment stablecoins, signed into law in July 2025 on bipartisan votes, requiring full reserve backing in cash and short-term Treasuries, monthly public reserve disclosures, and issuance limited to regulated entities. [6] The OCC issued its implementing proposed rule in February 2026. [7] In December 2025 the OCC conditionally approved five crypto-native national trust charters in a single action. [8] A market-structure bill, the CLARITY Act, advanced through Senate Banking on a bipartisan vote in May 2026, though it is not yet law. [9]</w:t>
      </w:r>
    </w:p>
    <w:p>
      <w:pPr>
        <w:keepNext/>
        <w:spacing w:before="320" w:after="120"/>
        <w:pBdr>
          <w:bottom w:val="single" w:sz="4" w:space="4" w:color="D8A94A"/>
        </w:pBdr>
      </w:pPr>
      <w:r>
        <w:rPr>
          <w:rFonts w:ascii="Fraunces" w:hAnsi="Fraunces" w:cs="Fraunces" w:eastAsia="Fraunces"/>
          <w:b/>
          <w:i w:val="0"/>
          <w:color w:val="D8A94A"/>
          <w:sz w:val="32"/>
        </w:rPr>
        <w:t>2. Why the template works</w:t>
      </w:r>
    </w:p>
    <w:p>
      <w:pPr>
        <w:spacing w:after="160"/>
      </w:pPr>
      <w:r>
        <w:rPr>
          <w:rFonts w:ascii="Hanken Grotesk" w:hAnsi="Hanken Grotesk" w:cs="Hanken Grotesk" w:eastAsia="Hanken Grotesk"/>
          <w:b w:val="0"/>
          <w:i w:val="0"/>
          <w:color w:val="16202B"/>
          <w:sz w:val="21"/>
        </w:rPr>
        <w:t>The common thread is not deregulation. It is a principles-based perimeter. The rules state what must be true, full reserves, disclosure, qualified custody, regulated issuance, and then enforce those principles through chartered, supervised entities. That structure scales to new products without rewriting the law for each one, because the principles travel even when the instruments change.</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The durable design choice was principles plus a regulated perimeter, not product-by-product micro-rules. That is exactly the design an agent-finance rulebook needs, because the products will keep changing faster than statutes can.</w:t>
      </w:r>
    </w:p>
    <w:p>
      <w:pPr>
        <w:keepNext/>
        <w:spacing w:before="320" w:after="120"/>
        <w:pBdr>
          <w:bottom w:val="single" w:sz="4" w:space="4" w:color="D8A94A"/>
        </w:pBdr>
      </w:pPr>
      <w:r>
        <w:rPr>
          <w:rFonts w:ascii="Fraunces" w:hAnsi="Fraunces" w:cs="Fraunces" w:eastAsia="Fraunces"/>
          <w:b/>
          <w:i w:val="0"/>
          <w:color w:val="D8A94A"/>
          <w:sz w:val="32"/>
        </w:rPr>
        <w:t>3. The next domain: money that moves itself</w:t>
      </w:r>
    </w:p>
    <w:p>
      <w:pPr>
        <w:spacing w:after="160"/>
      </w:pPr>
      <w:r>
        <w:rPr>
          <w:rFonts w:ascii="Hanken Grotesk" w:hAnsi="Hanken Grotesk" w:cs="Hanken Grotesk" w:eastAsia="Hanken Grotesk"/>
          <w:b w:val="0"/>
          <w:i w:val="0"/>
          <w:color w:val="16202B"/>
          <w:sz w:val="21"/>
        </w:rPr>
        <w:t>Autonomous agents that pay, settle, and hold balances raise questions the stablecoin rulebook did not have to answer: who is accountable for an agent's transaction, what reserves or controls stand behind an agent acting on institutional capital, how is an agent identified and its authority bounded, and who supervises the entity that underwrites it. The private standards bodies are defining agent identity and authorization, but as a matter of design they leave underwriting, custody, and accountability out of scope, and no financial regulator has yet issued a standard here. [10]</w:t>
      </w:r>
    </w:p>
    <w:p>
      <w:pPr>
        <w:spacing w:after="160"/>
      </w:pPr>
      <w:r>
        <w:rPr>
          <w:rFonts w:ascii="Hanken Grotesk" w:hAnsi="Hanken Grotesk" w:cs="Hanken Grotesk" w:eastAsia="Hanken Grotesk"/>
          <w:b w:val="0"/>
          <w:i w:val="0"/>
          <w:color w:val="16202B"/>
          <w:sz w:val="21"/>
        </w:rPr>
        <w:t>The principles-based template answers these the same way it answered stablecoins: define the principles (identifiable agents, bounded authority, qualified custody of what they touch, accountable regulated operators, disclosure), and anchor them in supervised entities. Nathan McCauley has been engaged on the policy process directly, including on the stablecoin framework, which is the right posture: the institutions that will operate the rails should help write the rules they run on.</w:t>
      </w:r>
    </w:p>
    <w:p>
      <w:pPr>
        <w:keepNext/>
        <w:spacing w:before="320" w:after="120"/>
        <w:pBdr>
          <w:bottom w:val="single" w:sz="4" w:space="4" w:color="D8A94A"/>
        </w:pBdr>
      </w:pPr>
      <w:r>
        <w:rPr>
          <w:rFonts w:ascii="Fraunces" w:hAnsi="Fraunces" w:cs="Fraunces" w:eastAsia="Fraunces"/>
          <w:b/>
          <w:i w:val="0"/>
          <w:color w:val="D8A94A"/>
          <w:sz w:val="32"/>
        </w:rPr>
        <w:t>4. The position: extend principles-based regulation to agents, from the banks outward</w:t>
      </w:r>
    </w:p>
    <w:p>
      <w:pPr>
        <w:spacing w:after="160"/>
      </w:pPr>
      <w:r>
        <w:rPr>
          <w:rFonts w:ascii="Hanken Grotesk" w:hAnsi="Hanken Grotesk" w:cs="Hanken Grotesk" w:eastAsia="Hanken Grotesk"/>
          <w:b w:val="0"/>
          <w:i w:val="0"/>
          <w:color w:val="16202B"/>
          <w:sz w:val="21"/>
        </w:rPr>
        <w:t>Anchorage's view is that the rulebook for autonomous money should extend the principles-based approach that worked for stablecoins, and that it should be anchored in regulated trust banks, the entities already supervised for custody, reserves, and accountability. The alternative, waiting for agent finance to scale and then regulating by enforcement, is exactly the failure mode the 2025 reforms corrected. Write the principles early, anchor them in chartered institutions, and the agent economy gets the same thing the stablecoin market just got: a rulebook that lets serious capital participate.</w:t>
      </w:r>
    </w:p>
    <w:p>
      <w:pPr>
        <w:keepNext/>
        <w:spacing w:before="320" w:after="120"/>
        <w:pBdr>
          <w:bottom w:val="single" w:sz="4" w:space="4" w:color="D8A94A"/>
        </w:pBdr>
      </w:pPr>
      <w:r>
        <w:rPr>
          <w:rFonts w:ascii="Fraunces" w:hAnsi="Fraunces" w:cs="Fraunces" w:eastAsia="Fraunces"/>
          <w:b/>
          <w:i w:val="0"/>
          <w:color w:val="D8A94A"/>
          <w:sz w:val="32"/>
        </w:rPr>
        <w:t>Sources</w:t>
      </w:r>
    </w:p>
    <w:p>
      <w:pPr>
        <w:spacing w:after="60"/>
        <w:ind w:left="400" w:hanging="400"/>
      </w:pPr>
      <w:r>
        <w:rPr>
          <w:rFonts w:ascii="IBM Plex Mono" w:hAnsi="IBM Plex Mono" w:cs="IBM Plex Mono" w:eastAsia="IBM Plex Mono"/>
          <w:b/>
          <w:i w:val="0"/>
          <w:color w:val="9A7320"/>
          <w:sz w:val="17"/>
        </w:rPr>
        <w:t xml:space="preserve">1.  </w:t>
      </w:r>
      <w:r>
        <w:rPr>
          <w:rFonts w:ascii="Hanken Grotesk" w:hAnsi="Hanken Grotesk" w:cs="Hanken Grotesk" w:eastAsia="Hanken Grotesk"/>
          <w:b w:val="0"/>
          <w:i w:val="0"/>
          <w:color w:val="55606B"/>
          <w:sz w:val="17"/>
        </w:rPr>
        <w:t>KPMG Financial Reporting View, "SEC Rescinds SAB 121" (SAB 122, January 23, 2025). https://kpmg.com/us/en/frv/reference-library/2025/sec-rescinds-sab-121.html</w:t>
      </w:r>
    </w:p>
    <w:p>
      <w:pPr>
        <w:spacing w:after="60"/>
        <w:ind w:left="400" w:hanging="400"/>
      </w:pPr>
      <w:r>
        <w:rPr>
          <w:rFonts w:ascii="IBM Plex Mono" w:hAnsi="IBM Plex Mono" w:cs="IBM Plex Mono" w:eastAsia="IBM Plex Mono"/>
          <w:b/>
          <w:i w:val="0"/>
          <w:color w:val="9A7320"/>
          <w:sz w:val="17"/>
        </w:rPr>
        <w:t xml:space="preserve">2.  </w:t>
      </w:r>
      <w:r>
        <w:rPr>
          <w:rFonts w:ascii="Hanken Grotesk" w:hAnsi="Hanken Grotesk" w:cs="Hanken Grotesk" w:eastAsia="Hanken Grotesk"/>
          <w:b w:val="0"/>
          <w:i w:val="0"/>
          <w:color w:val="55606B"/>
          <w:sz w:val="17"/>
        </w:rPr>
        <w:t>The White House, Executive Order 14178, "Strengthening American Leadership in Digital Financial Technology," January 23, 2025. https://www.whitehouse.gov/presidential-actions/2025/01/strengthening-american-leadership-in-digital-financial-technology/</w:t>
      </w:r>
    </w:p>
    <w:p>
      <w:pPr>
        <w:spacing w:after="60"/>
        <w:ind w:left="400" w:hanging="400"/>
      </w:pPr>
      <w:r>
        <w:rPr>
          <w:rFonts w:ascii="IBM Plex Mono" w:hAnsi="IBM Plex Mono" w:cs="IBM Plex Mono" w:eastAsia="IBM Plex Mono"/>
          <w:b/>
          <w:i w:val="0"/>
          <w:color w:val="9A7320"/>
          <w:sz w:val="17"/>
        </w:rPr>
        <w:t xml:space="preserve">3.  </w:t>
      </w:r>
      <w:r>
        <w:rPr>
          <w:rFonts w:ascii="Hanken Grotesk" w:hAnsi="Hanken Grotesk" w:cs="Hanken Grotesk" w:eastAsia="Hanken Grotesk"/>
          <w:b w:val="0"/>
          <w:i w:val="0"/>
          <w:color w:val="55606B"/>
          <w:sz w:val="17"/>
        </w:rPr>
        <w:t>OCC News Release 2025-16, Interpretive Letter 1183, March 7, 2025. https://www.occ.treas.gov/news-issuances/news-releases/2025/nr-occ-2025-16.html</w:t>
      </w:r>
    </w:p>
    <w:p>
      <w:pPr>
        <w:spacing w:after="60"/>
        <w:ind w:left="400" w:hanging="400"/>
      </w:pPr>
      <w:r>
        <w:rPr>
          <w:rFonts w:ascii="IBM Plex Mono" w:hAnsi="IBM Plex Mono" w:cs="IBM Plex Mono" w:eastAsia="IBM Plex Mono"/>
          <w:b/>
          <w:i w:val="0"/>
          <w:color w:val="9A7320"/>
          <w:sz w:val="17"/>
        </w:rPr>
        <w:t xml:space="preserve">4.  </w:t>
      </w:r>
      <w:r>
        <w:rPr>
          <w:rFonts w:ascii="Hanken Grotesk" w:hAnsi="Hanken Grotesk" w:cs="Hanken Grotesk" w:eastAsia="Hanken Grotesk"/>
          <w:b w:val="0"/>
          <w:i w:val="0"/>
          <w:color w:val="55606B"/>
          <w:sz w:val="17"/>
        </w:rPr>
        <w:t>CoinDesk, "Coinbase Case Dropped by U.S. SEC," February 27, 2025. https://www.coindesk.com/policy/2025/02/27/coinbase-case-dropped-by-u-s-sec-as-agency-reverses-crypto-stance</w:t>
      </w:r>
    </w:p>
    <w:p>
      <w:pPr>
        <w:spacing w:after="60"/>
        <w:ind w:left="400" w:hanging="400"/>
      </w:pPr>
      <w:r>
        <w:rPr>
          <w:rFonts w:ascii="IBM Plex Mono" w:hAnsi="IBM Plex Mono" w:cs="IBM Plex Mono" w:eastAsia="IBM Plex Mono"/>
          <w:b/>
          <w:i w:val="0"/>
          <w:color w:val="9A7320"/>
          <w:sz w:val="17"/>
        </w:rPr>
        <w:t xml:space="preserve">5.  </w:t>
      </w:r>
      <w:r>
        <w:rPr>
          <w:rFonts w:ascii="Hanken Grotesk" w:hAnsi="Hanken Grotesk" w:cs="Hanken Grotesk" w:eastAsia="Hanken Grotesk"/>
          <w:b w:val="0"/>
          <w:i w:val="0"/>
          <w:color w:val="55606B"/>
          <w:sz w:val="17"/>
        </w:rPr>
        <w:t>Dechert OnPoint, "Generic Listing Standards for Crypto and Commodity ETPs," on the SEC order of September 17, 2025. https://www.dechert.com/knowledge/onpoint/2025/10/generic-listing-standards-for-crypto-and-commodity-etps--what-it.html</w:t>
      </w:r>
    </w:p>
    <w:p>
      <w:pPr>
        <w:spacing w:after="60"/>
        <w:ind w:left="400" w:hanging="400"/>
      </w:pPr>
      <w:r>
        <w:rPr>
          <w:rFonts w:ascii="IBM Plex Mono" w:hAnsi="IBM Plex Mono" w:cs="IBM Plex Mono" w:eastAsia="IBM Plex Mono"/>
          <w:b/>
          <w:i w:val="0"/>
          <w:color w:val="9A7320"/>
          <w:sz w:val="17"/>
        </w:rPr>
        <w:t xml:space="preserve">6.  </w:t>
      </w:r>
      <w:r>
        <w:rPr>
          <w:rFonts w:ascii="Hanken Grotesk" w:hAnsi="Hanken Grotesk" w:cs="Hanken Grotesk" w:eastAsia="Hanken Grotesk"/>
          <w:b w:val="0"/>
          <w:i w:val="0"/>
          <w:color w:val="55606B"/>
          <w:sz w:val="17"/>
        </w:rPr>
        <w:t>Congress.gov / GPO, GENIUS Act enrolled law, Public Law 119-27, signed July 18, 2025. https://www.congress.gov/119/plaws/publ27/PLAW-119publ27.pdf</w:t>
      </w:r>
    </w:p>
    <w:p>
      <w:pPr>
        <w:spacing w:after="60"/>
        <w:ind w:left="400" w:hanging="400"/>
      </w:pPr>
      <w:r>
        <w:rPr>
          <w:rFonts w:ascii="IBM Plex Mono" w:hAnsi="IBM Plex Mono" w:cs="IBM Plex Mono" w:eastAsia="IBM Plex Mono"/>
          <w:b/>
          <w:i w:val="0"/>
          <w:color w:val="9A7320"/>
          <w:sz w:val="17"/>
        </w:rPr>
        <w:t xml:space="preserve">7.  </w:t>
      </w:r>
      <w:r>
        <w:rPr>
          <w:rFonts w:ascii="Hanken Grotesk" w:hAnsi="Hanken Grotesk" w:cs="Hanken Grotesk" w:eastAsia="Hanken Grotesk"/>
          <w:b w:val="0"/>
          <w:i w:val="0"/>
          <w:color w:val="55606B"/>
          <w:sz w:val="17"/>
        </w:rPr>
        <w:t>OCC Bulletin 2026-3, GENIUS Act NPRM, February 25, 2026. https://occ.treas.gov/news-issuances/bulletins/2026/bulletin-2026-3.html</w:t>
      </w:r>
    </w:p>
    <w:p>
      <w:pPr>
        <w:spacing w:after="60"/>
        <w:ind w:left="400" w:hanging="400"/>
      </w:pPr>
      <w:r>
        <w:rPr>
          <w:rFonts w:ascii="IBM Plex Mono" w:hAnsi="IBM Plex Mono" w:cs="IBM Plex Mono" w:eastAsia="IBM Plex Mono"/>
          <w:b/>
          <w:i w:val="0"/>
          <w:color w:val="9A7320"/>
          <w:sz w:val="17"/>
        </w:rPr>
        <w:t xml:space="preserve">8.  </w:t>
      </w:r>
      <w:r>
        <w:rPr>
          <w:rFonts w:ascii="Hanken Grotesk" w:hAnsi="Hanken Grotesk" w:cs="Hanken Grotesk" w:eastAsia="Hanken Grotesk"/>
          <w:b w:val="0"/>
          <w:i w:val="0"/>
          <w:color w:val="55606B"/>
          <w:sz w:val="17"/>
        </w:rPr>
        <w:t>OCC News Release NR-OCC-2025-125 (five national trust charter conditional approvals), December 12, 2025. https://www.occ.gov/news-issuances/news-releases/2025/nr-occ-2025-125.html</w:t>
      </w:r>
    </w:p>
    <w:p>
      <w:pPr>
        <w:spacing w:after="60"/>
        <w:ind w:left="400" w:hanging="400"/>
      </w:pPr>
      <w:r>
        <w:rPr>
          <w:rFonts w:ascii="IBM Plex Mono" w:hAnsi="IBM Plex Mono" w:cs="IBM Plex Mono" w:eastAsia="IBM Plex Mono"/>
          <w:b/>
          <w:i w:val="0"/>
          <w:color w:val="9A7320"/>
          <w:sz w:val="17"/>
        </w:rPr>
        <w:t xml:space="preserve">9.  </w:t>
      </w:r>
      <w:r>
        <w:rPr>
          <w:rFonts w:ascii="Hanken Grotesk" w:hAnsi="Hanken Grotesk" w:cs="Hanken Grotesk" w:eastAsia="Hanken Grotesk"/>
          <w:b w:val="0"/>
          <w:i w:val="0"/>
          <w:color w:val="55606B"/>
          <w:sz w:val="17"/>
        </w:rPr>
        <w:t>U.S. Senate Committee on Banking, Housing, and Urban Affairs, CLARITY Act committee advancement, May 14, 2026. https://www.banking.senate.gov/newsroom/majority/chairman-scott-senate-banking-committee-advance-clarity-act-in-historic-bipartisan-vote</w:t>
      </w:r>
    </w:p>
    <w:p>
      <w:pPr>
        <w:spacing w:after="60"/>
        <w:ind w:left="400" w:hanging="400"/>
      </w:pPr>
      <w:r>
        <w:rPr>
          <w:rFonts w:ascii="IBM Plex Mono" w:hAnsi="IBM Plex Mono" w:cs="IBM Plex Mono" w:eastAsia="IBM Plex Mono"/>
          <w:b/>
          <w:i w:val="0"/>
          <w:color w:val="9A7320"/>
          <w:sz w:val="17"/>
        </w:rPr>
        <w:t xml:space="preserve">10.  </w:t>
      </w:r>
      <w:r>
        <w:rPr>
          <w:rFonts w:ascii="Hanken Grotesk" w:hAnsi="Hanken Grotesk" w:cs="Hanken Grotesk" w:eastAsia="Hanken Grotesk"/>
          <w:b w:val="0"/>
          <w:i w:val="0"/>
          <w:color w:val="55606B"/>
          <w:sz w:val="17"/>
        </w:rPr>
        <w:t>Sumsub, "Know Your Agent" (scope excludes underwriting, credit, and custody; no regulator standard as of 2026), January 28, 2026. https://sumsub.com/blog/know-your-agent/</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tcW w:w="9360" w:type="dxa"/>
            <w:shd w:val="clear" w:color="auto" w:fill="0A1726"/>
            <w:tcMar>
              <w:top w:w="420" w:type="dxa"/>
              <w:bottom w:w="420" w:type="dxa"/>
              <w:left w:w="300" w:type="dxa"/>
              <w:right w:w="300" w:type="dxa"/>
            </w:tcMar>
          </w:tcPr>
          <w:p>
            <w:pPr>
              <w:spacing w:lineRule="auto" w:after="200" w:line="240"/>
            </w:pPr>
            <w:r>
              <w:rPr>
                <w:rFonts w:ascii="IBM Plex Mono" w:hAnsi="IBM Plex Mono" w:cs="IBM Plex Mono" w:eastAsia="IBM Plex Mono"/>
                <w:b w:val="0"/>
                <w:i w:val="0"/>
                <w:color w:val="D8A94A"/>
                <w:sz w:val="18"/>
                <w:spacing w:val="40"/>
              </w:rPr>
              <w:t>PAPER 06  ·  PILLAR 6, WEALTH MANAGEMENT</w:t>
            </w:r>
          </w:p>
          <w:p>
            <w:pPr>
              <w:spacing w:lineRule="auto" w:after="120" w:line="250"/>
            </w:pPr>
            <w:r>
              <w:rPr>
                <w:rFonts w:ascii="Fraunces" w:hAnsi="Fraunces" w:cs="Fraunces" w:eastAsia="Fraunces"/>
                <w:b/>
                <w:i w:val="0"/>
                <w:color w:val="F2ECDF"/>
                <w:sz w:val="48"/>
              </w:rPr>
              <w:t>AI Copilots for Advisors, on Regulated Rails</w:t>
            </w:r>
          </w:p>
          <w:p>
            <w:pPr>
              <w:spacing w:lineRule="auto" w:before="40" w:after="200"/>
              <w:pBdr>
                <w:bottom w:val="single" w:sz="8" w:space="1" w:color="D8A94A"/>
              </w:pBdr>
            </w:pPr>
            <w:r>
              <w:rPr>
                <w:rFonts w:ascii="Hanken Grotesk" w:hAnsi="Hanken Grotesk" w:cs="Hanken Grotesk" w:eastAsia="Hanken Grotesk"/>
                <w:b w:val="0"/>
                <w:i w:val="0"/>
                <w:color w:val="D8A94A"/>
                <w:sz w:val="4"/>
              </w:rPr>
            </w:r>
          </w:p>
          <w:p>
            <w:pPr>
              <w:spacing w:lineRule="auto" w:after="240" w:line="288"/>
            </w:pPr>
            <w:r>
              <w:rPr>
                <w:rFonts w:ascii="Fraunces" w:hAnsi="Fraunces" w:cs="Fraunces" w:eastAsia="Fraunces"/>
                <w:b w:val="0"/>
                <w:i/>
                <w:color w:val="DEE5EE"/>
                <w:sz w:val="28"/>
              </w:rPr>
              <w:t>The advisory channel led crypto adoption. It will lead agentic adoption too.</w:t>
            </w:r>
          </w:p>
          <w:p>
            <w:pPr>
              <w:spacing w:lineRule="auto" w:before="120" w:after="80" w:line="312"/>
            </w:pPr>
            <w:r>
              <w:rPr>
                <w:rFonts w:ascii="Fraunces" w:hAnsi="Fraunces" w:cs="Fraunces" w:eastAsia="Fraunces"/>
                <w:b w:val="0"/>
                <w:i/>
                <w:color w:val="EAC36B"/>
                <w:sz w:val="24"/>
              </w:rPr>
              <w:t>The differentiator will be whether advisor copilots run on regulated, custodied rails.</w:t>
            </w:r>
          </w:p>
        </w:tc>
      </w:tr>
    </w:tbl>
    <w:p>
      <w:pPr>
        <w:spacing w:after="120" w:before="0"/>
      </w:pPr>
    </w:p>
    <w:p>
      <w:pPr>
        <w:keepNext/>
        <w:spacing w:before="320" w:after="120"/>
        <w:pBdr>
          <w:bottom w:val="single" w:sz="4" w:space="4" w:color="D8A94A"/>
        </w:pBdr>
      </w:pPr>
      <w:r>
        <w:rPr>
          <w:rFonts w:ascii="Fraunces" w:hAnsi="Fraunces" w:cs="Fraunces" w:eastAsia="Fraunces"/>
          <w:b/>
          <w:i w:val="0"/>
          <w:color w:val="D8A94A"/>
          <w:sz w:val="32"/>
        </w:rPr>
        <w:t>Executive summary</w:t>
      </w:r>
    </w:p>
    <w:p>
      <w:pPr>
        <w:spacing w:after="160"/>
      </w:pPr>
      <w:r>
        <w:rPr>
          <w:rFonts w:ascii="Hanken Grotesk" w:hAnsi="Hanken Grotesk" w:cs="Hanken Grotesk" w:eastAsia="Hanken Grotesk"/>
          <w:b w:val="0"/>
          <w:i w:val="0"/>
          <w:color w:val="16202B"/>
          <w:sz w:val="21"/>
        </w:rPr>
        <w:t>The quiet fact of crypto's institutionalization is that it was led by financial advisors, not by hedge funds. The same channel, registered investment advisors and the wealth platforms that serve them, is now the front line for agentic AI: copilots that research, draft, reconcile, and increasingly act inside the advisory workflow. The question for a regulated institution is not whether advisors adopt AI copilots. They will. It is whether those copilots, when they begin to touch client assets and accounts, run on regulated, custodied rails or on unaccountable ones. This is the lightest-data pillar in this series, and it is written as a forward thesis rather than a data proof, but the direction is well supported.</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Advisors drove the majority of reported institutional crypto exposure. As the same advisors adopt AI copilots, the trust and custody layer underneath those copilots becomes the differentiator.</w:t>
      </w:r>
    </w:p>
    <w:p>
      <w:pPr>
        <w:keepNext/>
        <w:spacing w:before="320" w:after="120"/>
        <w:pBdr>
          <w:bottom w:val="single" w:sz="4" w:space="4" w:color="D8A94A"/>
        </w:pBdr>
      </w:pPr>
      <w:r>
        <w:rPr>
          <w:rFonts w:ascii="Fraunces" w:hAnsi="Fraunces" w:cs="Fraunces" w:eastAsia="Fraunces"/>
          <w:b/>
          <w:i w:val="0"/>
          <w:color w:val="D8A94A"/>
          <w:sz w:val="32"/>
        </w:rPr>
        <w:t>1. The advisory channel led, and it is still leading</w:t>
      </w:r>
    </w:p>
    <w:p>
      <w:pPr>
        <w:spacing w:after="160"/>
      </w:pPr>
      <w:r>
        <w:rPr>
          <w:rFonts w:ascii="Hanken Grotesk" w:hAnsi="Hanken Grotesk" w:cs="Hanken Grotesk" w:eastAsia="Hanken Grotesk"/>
          <w:b w:val="0"/>
          <w:i w:val="0"/>
          <w:color w:val="16202B"/>
          <w:sz w:val="21"/>
        </w:rPr>
        <w:t>The ownership data is clear. Registered investment advisors accounted for 50% to 60% of reported 13F exposure to spot Bitcoin ETFs across 2025, per CoinShares, making the advisory channel the dominant institutional holder, ahead of hedge funds. [1] Morgan Stanley, the first wirehouse to authorize its roughly 15,000 advisors to actively solicit spot Bitcoin ETFs, went on to launch its own bank-issued product in 2026. [2] In the Coinbase and EY-Parthenon 2026 survey, 73% of institutions said they planned to increase digital-asset allocations, with the advisory channel central to that intent. [3]</w:t>
      </w:r>
    </w:p>
    <w:p>
      <w:pPr>
        <w:spacing w:after="160"/>
      </w:pPr>
      <w:r>
        <w:rPr>
          <w:rFonts w:ascii="Hanken Grotesk" w:hAnsi="Hanken Grotesk" w:cs="Hanken Grotesk" w:eastAsia="Hanken Grotesk"/>
          <w:b w:val="0"/>
          <w:i w:val="0"/>
          <w:color w:val="16202B"/>
          <w:sz w:val="21"/>
        </w:rPr>
        <w:t>Adoption in this market runs through advisors. Whatever comes next will run through them too.</w:t>
      </w:r>
    </w:p>
    <w:p>
      <w:pPr>
        <w:keepNext/>
        <w:spacing w:before="320" w:after="120"/>
        <w:pBdr>
          <w:bottom w:val="single" w:sz="4" w:space="4" w:color="D8A94A"/>
        </w:pBdr>
      </w:pPr>
      <w:r>
        <w:rPr>
          <w:rFonts w:ascii="Fraunces" w:hAnsi="Fraunces" w:cs="Fraunces" w:eastAsia="Fraunces"/>
          <w:b/>
          <w:i w:val="0"/>
          <w:color w:val="D8A94A"/>
          <w:sz w:val="32"/>
        </w:rPr>
        <w:t>2. The copilots are coming to the advisory desk</w:t>
      </w:r>
    </w:p>
    <w:p>
      <w:pPr>
        <w:spacing w:after="160"/>
      </w:pPr>
      <w:r>
        <w:rPr>
          <w:rFonts w:ascii="Hanken Grotesk" w:hAnsi="Hanken Grotesk" w:cs="Hanken Grotesk" w:eastAsia="Hanken Grotesk"/>
          <w:b w:val="0"/>
          <w:i w:val="0"/>
          <w:color w:val="16202B"/>
          <w:sz w:val="21"/>
        </w:rPr>
        <w:t>Agentic AI is arriving in financial services fast. McKinsey estimates agentic AI could cut banking operating costs by up to 20% and open a four-percentage-point return-on-tangible-equity gap between leaders and laggards. [4] Boston Consulting Group finds agentic AI has reached 35% enterprise adoption in two years, with another 44% of organizations planning to deploy. [5] Gartner projects 40% of enterprise applications will embed task-specific AI agents by the end of 2026. [6] The advisory workflow, research, portfolio construction, client communication, compliance documentation, is squarely in scope.</w:t>
      </w:r>
    </w:p>
    <w:p>
      <w:pPr>
        <w:spacing w:after="160"/>
      </w:pPr>
      <w:r>
        <w:rPr>
          <w:rFonts w:ascii="Hanken Grotesk" w:hAnsi="Hanken Grotesk" w:cs="Hanken Grotesk" w:eastAsia="Hanken Grotesk"/>
          <w:b w:val="0"/>
          <w:i w:val="0"/>
          <w:color w:val="16202B"/>
          <w:sz w:val="21"/>
        </w:rPr>
        <w:t>The same caution applies as elsewhere: Gartner expects more than 40% of agentic AI projects to be canceled by the end of 2027 on cost, value, and control grounds. [7] The advisory copilots that survive will be the governed ones.</w:t>
      </w:r>
    </w:p>
    <w:p>
      <w:pPr>
        <w:spacing w:before="160" w:after="160"/>
        <w:ind w:left="200" w:right="80"/>
        <w:shd w:val="clear" w:color="auto" w:fill="F6EFDD"/>
        <w:pBdr>
          <w:left w:val="single" w:sz="22" w:space="10" w:color="D8A94A"/>
        </w:pBdr>
      </w:pPr>
      <w:r>
        <w:rPr>
          <w:rFonts w:ascii="IBM Plex Mono" w:hAnsi="IBM Plex Mono" w:cs="IBM Plex Mono" w:eastAsia="IBM Plex Mono"/>
          <w:b/>
          <w:i w:val="0"/>
          <w:color w:val="9A7320"/>
          <w:sz w:val="19"/>
        </w:rPr>
        <w:t xml:space="preserve">Key Finding.  </w:t>
      </w:r>
      <w:r>
        <w:rPr>
          <w:rFonts w:ascii="Hanken Grotesk" w:hAnsi="Hanken Grotesk" w:cs="Hanken Grotesk" w:eastAsia="Hanken Grotesk"/>
          <w:b w:val="0"/>
          <w:i w:val="0"/>
          <w:color w:val="0E2034"/>
          <w:sz w:val="21"/>
        </w:rPr>
        <w:t>Agentic AI is entering the enterprise broadly and the advisory workflow specifically. The deployments that endure will be those with controls, auditability, and a regulated layer where they touch assets.</w:t>
      </w:r>
    </w:p>
    <w:p>
      <w:pPr>
        <w:keepNext/>
        <w:spacing w:before="320" w:after="120"/>
        <w:pBdr>
          <w:bottom w:val="single" w:sz="4" w:space="4" w:color="D8A94A"/>
        </w:pBdr>
      </w:pPr>
      <w:r>
        <w:rPr>
          <w:rFonts w:ascii="Fraunces" w:hAnsi="Fraunces" w:cs="Fraunces" w:eastAsia="Fraunces"/>
          <w:b/>
          <w:i w:val="0"/>
          <w:color w:val="D8A94A"/>
          <w:sz w:val="32"/>
        </w:rPr>
        <w:t>3. Where the trust layer enters</w:t>
      </w:r>
    </w:p>
    <w:p>
      <w:pPr>
        <w:spacing w:after="160"/>
      </w:pPr>
      <w:r>
        <w:rPr>
          <w:rFonts w:ascii="Hanken Grotesk" w:hAnsi="Hanken Grotesk" w:cs="Hanken Grotesk" w:eastAsia="Hanken Grotesk"/>
          <w:b w:val="0"/>
          <w:i w:val="0"/>
          <w:color w:val="16202B"/>
          <w:sz w:val="21"/>
        </w:rPr>
        <w:t>A copilot that drafts a client memo is a productivity tool. A copilot that initiates a trade, moves cash, or rebalances a custodied account is a fiduciary actor, and at that point the advisory channel needs exactly what institutional crypto needed: qualified custody, governed permissions, auditability, and a regulated entity standing behind the rail. Anchorage's acquisition of the Securitize for Advisors platform connects regulated custody directly to the wealth-management workflow, which is the substrate an advisor copilot would need to act safely. [8]</w:t>
      </w:r>
    </w:p>
    <w:p>
      <w:pPr>
        <w:spacing w:after="160"/>
      </w:pPr>
      <w:r>
        <w:rPr>
          <w:rFonts w:ascii="Hanken Grotesk" w:hAnsi="Hanken Grotesk" w:cs="Hanken Grotesk" w:eastAsia="Hanken Grotesk"/>
          <w:b w:val="0"/>
          <w:i w:val="0"/>
          <w:color w:val="16202B"/>
          <w:sz w:val="21"/>
        </w:rPr>
        <w:t>This is the bridge between this pillar and the agent-underwriting argument elsewhere in this series: the advisor copilot is simply an agent operating inside the wealth channel, and it requires the same allowance-not-keys custody and the same underwriting before it acts.</w:t>
      </w:r>
    </w:p>
    <w:p>
      <w:pPr>
        <w:keepNext/>
        <w:spacing w:before="320" w:after="120"/>
        <w:pBdr>
          <w:bottom w:val="single" w:sz="4" w:space="4" w:color="D8A94A"/>
        </w:pBdr>
      </w:pPr>
      <w:r>
        <w:rPr>
          <w:rFonts w:ascii="Fraunces" w:hAnsi="Fraunces" w:cs="Fraunces" w:eastAsia="Fraunces"/>
          <w:b/>
          <w:i w:val="0"/>
          <w:color w:val="D8A94A"/>
          <w:sz w:val="32"/>
        </w:rPr>
        <w:t>4. The position: copilots are fine, unaccountable copilots are not</w:t>
      </w:r>
    </w:p>
    <w:p>
      <w:pPr>
        <w:spacing w:after="160"/>
      </w:pPr>
      <w:r>
        <w:rPr>
          <w:rFonts w:ascii="Hanken Grotesk" w:hAnsi="Hanken Grotesk" w:cs="Hanken Grotesk" w:eastAsia="Hanken Grotesk"/>
          <w:b w:val="0"/>
          <w:i w:val="0"/>
          <w:color w:val="16202B"/>
          <w:sz w:val="21"/>
        </w:rPr>
        <w:t>Anchorage's view is that AI copilots in wealth management are inevitable and useful, and that the line that matters is the moment a copilot moves from advising to acting. On the advising side, let the tools flourish. On the acting side, require regulated, custodied rails, governed permissions, and an accountable institution. The advisory channel led crypto onto regulated infrastructure. It can lead agentic finance the same way, if the trust layer is built into the copilot from the start rather than bolted on after an incident.</w:t>
      </w:r>
    </w:p>
    <w:p>
      <w:pPr>
        <w:keepNext/>
        <w:spacing w:before="320" w:after="120"/>
        <w:pBdr>
          <w:bottom w:val="single" w:sz="4" w:space="4" w:color="D8A94A"/>
        </w:pBdr>
      </w:pPr>
      <w:r>
        <w:rPr>
          <w:rFonts w:ascii="Fraunces" w:hAnsi="Fraunces" w:cs="Fraunces" w:eastAsia="Fraunces"/>
          <w:b/>
          <w:i w:val="0"/>
          <w:color w:val="D8A94A"/>
          <w:sz w:val="32"/>
        </w:rPr>
        <w:t>Sources</w:t>
      </w:r>
    </w:p>
    <w:p>
      <w:pPr>
        <w:spacing w:after="60"/>
        <w:ind w:left="400" w:hanging="400"/>
      </w:pPr>
      <w:r>
        <w:rPr>
          <w:rFonts w:ascii="IBM Plex Mono" w:hAnsi="IBM Plex Mono" w:cs="IBM Plex Mono" w:eastAsia="IBM Plex Mono"/>
          <w:b/>
          <w:i w:val="0"/>
          <w:color w:val="9A7320"/>
          <w:sz w:val="17"/>
        </w:rPr>
        <w:t xml:space="preserve">1.  </w:t>
      </w:r>
      <w:r>
        <w:rPr>
          <w:rFonts w:ascii="Hanken Grotesk" w:hAnsi="Hanken Grotesk" w:cs="Hanken Grotesk" w:eastAsia="Hanken Grotesk"/>
          <w:b w:val="0"/>
          <w:i w:val="0"/>
          <w:color w:val="55606B"/>
          <w:sz w:val="17"/>
        </w:rPr>
        <w:t>CoinShares, "13F Filings of Bitcoin ETFs, Q4 2025 Institutional Report" (advisors 50-60% of reported exposure), March 3, 2026. https://coinshares.com/insights/research-data/13f-fillings-of-bitcoin-etfs-q4-2025-institutional-report/</w:t>
      </w:r>
    </w:p>
    <w:p>
      <w:pPr>
        <w:spacing w:after="60"/>
        <w:ind w:left="400" w:hanging="400"/>
      </w:pPr>
      <w:r>
        <w:rPr>
          <w:rFonts w:ascii="IBM Plex Mono" w:hAnsi="IBM Plex Mono" w:cs="IBM Plex Mono" w:eastAsia="IBM Plex Mono"/>
          <w:b/>
          <w:i w:val="0"/>
          <w:color w:val="9A7320"/>
          <w:sz w:val="17"/>
        </w:rPr>
        <w:t xml:space="preserve">2.  </w:t>
      </w:r>
      <w:r>
        <w:rPr>
          <w:rFonts w:ascii="Hanken Grotesk" w:hAnsi="Hanken Grotesk" w:cs="Hanken Grotesk" w:eastAsia="Hanken Grotesk"/>
          <w:b w:val="0"/>
          <w:i w:val="0"/>
          <w:color w:val="55606B"/>
          <w:sz w:val="17"/>
        </w:rPr>
        <w:t>WealthManagement.com, "Morgan Stanley OKs Advisors to Pitch Spot Bitcoin ETFs," and Morgan Stanley Bitcoin Trust S-1/A, SEC EDGAR CIK 0002103612. https://www.wealthmanagement.com/investment-news/report-morgan-stanley-oks-advisors-to-pitch-spot-bitcoin-etfs</w:t>
      </w:r>
    </w:p>
    <w:p>
      <w:pPr>
        <w:spacing w:after="60"/>
        <w:ind w:left="400" w:hanging="400"/>
      </w:pPr>
      <w:r>
        <w:rPr>
          <w:rFonts w:ascii="IBM Plex Mono" w:hAnsi="IBM Plex Mono" w:cs="IBM Plex Mono" w:eastAsia="IBM Plex Mono"/>
          <w:b/>
          <w:i w:val="0"/>
          <w:color w:val="9A7320"/>
          <w:sz w:val="17"/>
        </w:rPr>
        <w:t xml:space="preserve">3.  </w:t>
      </w:r>
      <w:r>
        <w:rPr>
          <w:rFonts w:ascii="Hanken Grotesk" w:hAnsi="Hanken Grotesk" w:cs="Hanken Grotesk" w:eastAsia="Hanken Grotesk"/>
          <w:b w:val="0"/>
          <w:i w:val="0"/>
          <w:color w:val="55606B"/>
          <w:sz w:val="17"/>
        </w:rPr>
        <w:t>Coinbase and EY-Parthenon, "2026 Institutional Investor Digital Assets Survey." https://assets.ctfassets.net/k3n74unfin40/1VXexCsHWsStj4GyXXHy1V/8104e825cab674204f34e6a2d4177657/2026_Institutional_Investor_Survey_Coinbase_E_Y.pdf</w:t>
      </w:r>
    </w:p>
    <w:p>
      <w:pPr>
        <w:spacing w:after="60"/>
        <w:ind w:left="400" w:hanging="400"/>
      </w:pPr>
      <w:r>
        <w:rPr>
          <w:rFonts w:ascii="IBM Plex Mono" w:hAnsi="IBM Plex Mono" w:cs="IBM Plex Mono" w:eastAsia="IBM Plex Mono"/>
          <w:b/>
          <w:i w:val="0"/>
          <w:color w:val="9A7320"/>
          <w:sz w:val="17"/>
        </w:rPr>
        <w:t xml:space="preserve">4.  </w:t>
      </w:r>
      <w:r>
        <w:rPr>
          <w:rFonts w:ascii="Hanken Grotesk" w:hAnsi="Hanken Grotesk" w:cs="Hanken Grotesk" w:eastAsia="Hanken Grotesk"/>
          <w:b w:val="0"/>
          <w:i w:val="0"/>
          <w:color w:val="55606B"/>
          <w:sz w:val="17"/>
        </w:rPr>
        <w:t>McKinsey &amp; Company, "Agentic AI Will Shake Up Banking, Shrinking Global Profit Pools." https://www.mckinsey.com/industries/financial-services/our-insights/banking-matters/agentic-ai-will-shake-up-banking-shrinking-global-profit-pools</w:t>
      </w:r>
    </w:p>
    <w:p>
      <w:pPr>
        <w:spacing w:after="60"/>
        <w:ind w:left="400" w:hanging="400"/>
      </w:pPr>
      <w:r>
        <w:rPr>
          <w:rFonts w:ascii="IBM Plex Mono" w:hAnsi="IBM Plex Mono" w:cs="IBM Plex Mono" w:eastAsia="IBM Plex Mono"/>
          <w:b/>
          <w:i w:val="0"/>
          <w:color w:val="9A7320"/>
          <w:sz w:val="17"/>
        </w:rPr>
        <w:t xml:space="preserve">5.  </w:t>
      </w:r>
      <w:r>
        <w:rPr>
          <w:rFonts w:ascii="Hanken Grotesk" w:hAnsi="Hanken Grotesk" w:cs="Hanken Grotesk" w:eastAsia="Hanken Grotesk"/>
          <w:b w:val="0"/>
          <w:i w:val="0"/>
          <w:color w:val="55606B"/>
          <w:sz w:val="17"/>
        </w:rPr>
        <w:t>Boston Consulting Group, "How Agents Are Accelerating the Next Wave of AI Value Creation," 2025. https://www.bcg.com/publications/2025/agents-accelerate-next-wave-of-ai-value-creation</w:t>
      </w:r>
    </w:p>
    <w:p>
      <w:pPr>
        <w:spacing w:after="60"/>
        <w:ind w:left="400" w:hanging="400"/>
      </w:pPr>
      <w:r>
        <w:rPr>
          <w:rFonts w:ascii="IBM Plex Mono" w:hAnsi="IBM Plex Mono" w:cs="IBM Plex Mono" w:eastAsia="IBM Plex Mono"/>
          <w:b/>
          <w:i w:val="0"/>
          <w:color w:val="9A7320"/>
          <w:sz w:val="17"/>
        </w:rPr>
        <w:t xml:space="preserve">6.  </w:t>
      </w:r>
      <w:r>
        <w:rPr>
          <w:rFonts w:ascii="Hanken Grotesk" w:hAnsi="Hanken Grotesk" w:cs="Hanken Grotesk" w:eastAsia="Hanken Grotesk"/>
          <w:b w:val="0"/>
          <w:i w:val="0"/>
          <w:color w:val="55606B"/>
          <w:sz w:val="17"/>
        </w:rPr>
        <w:t>Gartner, "40% of Enterprise Apps Will Feature Task-Specific AI Agents by 2026," August 26, 2025. https://www.gartner.com/en/newsroom/press-releases/2025-08-26-gartner-predicts-40-percent-of-enterprise-apps-will-feature-task-specific-ai-agents-by-2026-up-from-less-than-5-percent-in-2025</w:t>
      </w:r>
    </w:p>
    <w:p>
      <w:pPr>
        <w:spacing w:after="60"/>
        <w:ind w:left="400" w:hanging="400"/>
      </w:pPr>
      <w:r>
        <w:rPr>
          <w:rFonts w:ascii="IBM Plex Mono" w:hAnsi="IBM Plex Mono" w:cs="IBM Plex Mono" w:eastAsia="IBM Plex Mono"/>
          <w:b/>
          <w:i w:val="0"/>
          <w:color w:val="9A7320"/>
          <w:sz w:val="17"/>
        </w:rPr>
        <w:t xml:space="preserve">7.  </w:t>
      </w:r>
      <w:r>
        <w:rPr>
          <w:rFonts w:ascii="Hanken Grotesk" w:hAnsi="Hanken Grotesk" w:cs="Hanken Grotesk" w:eastAsia="Hanken Grotesk"/>
          <w:b w:val="0"/>
          <w:i w:val="0"/>
          <w:color w:val="55606B"/>
          <w:sz w:val="17"/>
        </w:rPr>
        <w:t>Gartner, "Over 40% of Agentic AI Projects Will Be Canceled by End of 2027," June 25, 2025. https://www.gartner.com/en/newsroom/press-releases/2025-06-25-gartner-predicts-over-40-percent-of-agentic-ai-projects-will-be-canceled-by-end-of-2027</w:t>
      </w:r>
    </w:p>
    <w:p>
      <w:pPr>
        <w:spacing w:after="60"/>
        <w:ind w:left="400" w:hanging="400"/>
      </w:pPr>
      <w:r>
        <w:rPr>
          <w:rFonts w:ascii="IBM Plex Mono" w:hAnsi="IBM Plex Mono" w:cs="IBM Plex Mono" w:eastAsia="IBM Plex Mono"/>
          <w:b/>
          <w:i w:val="0"/>
          <w:color w:val="9A7320"/>
          <w:sz w:val="17"/>
        </w:rPr>
        <w:t xml:space="preserve">8.  </w:t>
      </w:r>
      <w:r>
        <w:rPr>
          <w:rFonts w:ascii="Hanken Grotesk" w:hAnsi="Hanken Grotesk" w:cs="Hanken Grotesk" w:eastAsia="Hanken Grotesk"/>
          <w:b w:val="0"/>
          <w:i w:val="0"/>
          <w:color w:val="55606B"/>
          <w:sz w:val="17"/>
        </w:rPr>
        <w:t>Anchorage Digital, "Anchorage Digital Acquires Securitize for Advisors Platform," December 15, 2025. https://www.anchorage.com/insights/anchorage-digital-acquires-securitize-advisors-platform-strengthen-wealth-management-platform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7" w:after="160" w:before="0"/>
    </w:pPr>
    <w:rPr>
      <w:rFonts w:ascii="Hanken Grotesk" w:hAnsi="Hanken Grotesk" w:cs="Hanken Grotesk" w:eastAsia="Hanken Grotesk"/>
      <w:color w:val="16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